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40622C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b w:val="0"/>
          <w:bCs/>
          <w:color w:val="000000"/>
          <w:sz w:val="32"/>
          <w:szCs w:val="32"/>
          <w:highlight w:val="none"/>
          <w:shd w:val="clear" w:color="auto" w:fill="auto"/>
          <w:lang w:val="en-US" w:eastAsia="zh-CN"/>
        </w:rPr>
      </w:pPr>
      <w:bookmarkStart w:id="0" w:name="_GoBack"/>
      <w:bookmarkEnd w:id="0"/>
      <w:r>
        <w:rPr>
          <w:rFonts w:hint="eastAsia" w:ascii="黑体" w:hAnsi="黑体" w:eastAsia="黑体" w:cs="黑体"/>
          <w:b w:val="0"/>
          <w:bCs/>
          <w:color w:val="000000"/>
          <w:sz w:val="32"/>
          <w:szCs w:val="32"/>
          <w:highlight w:val="none"/>
          <w:shd w:val="clear" w:color="auto" w:fill="auto"/>
          <w:lang w:val="en-US" w:eastAsia="zh-CN"/>
        </w:rPr>
        <w:t>附件1</w:t>
      </w:r>
    </w:p>
    <w:p w14:paraId="65CC9F74">
      <w:pPr>
        <w:spacing w:line="1000" w:lineRule="exact"/>
        <w:jc w:val="center"/>
        <w:rPr>
          <w:rFonts w:hint="eastAsia" w:ascii="方正大标宋简体" w:hAnsi="方正大标宋简体" w:eastAsia="方正大标宋简体" w:cs="方正大标宋简体"/>
          <w:b w:val="0"/>
          <w:bCs/>
          <w:color w:val="000000"/>
          <w:sz w:val="52"/>
          <w:highlight w:val="none"/>
          <w:shd w:val="clear" w:color="auto" w:fill="auto"/>
        </w:rPr>
      </w:pPr>
    </w:p>
    <w:p w14:paraId="1E86A094">
      <w:pPr>
        <w:spacing w:line="1000" w:lineRule="exact"/>
        <w:jc w:val="center"/>
        <w:rPr>
          <w:rFonts w:hint="eastAsia" w:ascii="方正大标宋简体" w:hAnsi="方正大标宋简体" w:eastAsia="方正大标宋简体" w:cs="方正大标宋简体"/>
          <w:b w:val="0"/>
          <w:bCs/>
          <w:color w:val="000000"/>
          <w:sz w:val="52"/>
          <w:highlight w:val="none"/>
          <w:shd w:val="clear" w:color="auto" w:fill="auto"/>
        </w:rPr>
      </w:pPr>
    </w:p>
    <w:p w14:paraId="0A56C8EA">
      <w:pPr>
        <w:spacing w:line="1000" w:lineRule="exact"/>
        <w:jc w:val="center"/>
        <w:rPr>
          <w:rFonts w:hint="eastAsia" w:ascii="方正大标宋简体" w:hAnsi="方正大标宋简体" w:eastAsia="方正大标宋简体" w:cs="方正大标宋简体"/>
          <w:b w:val="0"/>
          <w:bCs/>
          <w:color w:val="000000"/>
          <w:sz w:val="52"/>
          <w:highlight w:val="none"/>
          <w:shd w:val="clear" w:color="auto" w:fill="auto"/>
        </w:rPr>
      </w:pPr>
      <w:r>
        <w:rPr>
          <w:rFonts w:hint="eastAsia" w:ascii="方正大标宋简体" w:hAnsi="方正大标宋简体" w:eastAsia="方正大标宋简体" w:cs="方正大标宋简体"/>
          <w:b w:val="0"/>
          <w:bCs/>
          <w:color w:val="000000"/>
          <w:sz w:val="52"/>
          <w:highlight w:val="none"/>
          <w:shd w:val="clear" w:color="auto" w:fill="auto"/>
        </w:rPr>
        <w:t>河南省社科联</w:t>
      </w:r>
    </w:p>
    <w:p w14:paraId="4231F368">
      <w:pPr>
        <w:spacing w:line="1000" w:lineRule="exact"/>
        <w:jc w:val="center"/>
        <w:rPr>
          <w:rFonts w:hint="eastAsia" w:ascii="方正大标宋简体" w:hAnsi="方正大标宋简体" w:eastAsia="方正大标宋简体" w:cs="方正大标宋简体"/>
          <w:b w:val="0"/>
          <w:bCs/>
          <w:color w:val="000000"/>
          <w:sz w:val="52"/>
          <w:highlight w:val="none"/>
          <w:shd w:val="clear" w:color="auto" w:fill="auto"/>
        </w:rPr>
      </w:pPr>
      <w:r>
        <w:rPr>
          <w:rFonts w:hint="eastAsia" w:ascii="方正大标宋简体" w:hAnsi="方正大标宋简体" w:eastAsia="方正大标宋简体" w:cs="方正大标宋简体"/>
          <w:b w:val="0"/>
          <w:bCs/>
          <w:color w:val="000000"/>
          <w:sz w:val="52"/>
          <w:highlight w:val="none"/>
          <w:shd w:val="clear" w:color="auto" w:fill="auto"/>
        </w:rPr>
        <w:t>202</w:t>
      </w:r>
      <w:r>
        <w:rPr>
          <w:rFonts w:hint="eastAsia" w:ascii="方正大标宋简体" w:hAnsi="方正大标宋简体" w:eastAsia="方正大标宋简体" w:cs="方正大标宋简体"/>
          <w:b w:val="0"/>
          <w:bCs/>
          <w:color w:val="000000"/>
          <w:sz w:val="52"/>
          <w:highlight w:val="none"/>
          <w:shd w:val="clear" w:color="auto" w:fill="auto"/>
          <w:lang w:val="en-US" w:eastAsia="zh-CN"/>
        </w:rPr>
        <w:t>6</w:t>
      </w:r>
      <w:r>
        <w:rPr>
          <w:rFonts w:hint="eastAsia" w:ascii="方正大标宋简体" w:hAnsi="方正大标宋简体" w:eastAsia="方正大标宋简体" w:cs="方正大标宋简体"/>
          <w:b w:val="0"/>
          <w:bCs/>
          <w:color w:val="000000"/>
          <w:sz w:val="52"/>
          <w:highlight w:val="none"/>
          <w:shd w:val="clear" w:color="auto" w:fill="auto"/>
        </w:rPr>
        <w:t>年度调研课题指南</w:t>
      </w:r>
    </w:p>
    <w:p w14:paraId="20EE3DB4">
      <w:pPr>
        <w:spacing w:line="360" w:lineRule="auto"/>
        <w:jc w:val="center"/>
        <w:rPr>
          <w:rFonts w:hint="eastAsia" w:ascii="黑体" w:eastAsia="黑体"/>
          <w:color w:val="000000"/>
          <w:sz w:val="52"/>
          <w:highlight w:val="none"/>
          <w:shd w:val="clear" w:color="auto" w:fill="auto"/>
        </w:rPr>
      </w:pPr>
    </w:p>
    <w:p w14:paraId="6FB3ACC2">
      <w:pPr>
        <w:spacing w:line="360" w:lineRule="auto"/>
        <w:jc w:val="center"/>
        <w:rPr>
          <w:rFonts w:hint="eastAsia" w:ascii="黑体" w:eastAsia="黑体"/>
          <w:color w:val="000000"/>
          <w:sz w:val="52"/>
          <w:highlight w:val="none"/>
          <w:shd w:val="clear" w:color="auto" w:fill="auto"/>
        </w:rPr>
      </w:pPr>
    </w:p>
    <w:p w14:paraId="45618D6B">
      <w:pPr>
        <w:spacing w:line="360" w:lineRule="auto"/>
        <w:jc w:val="center"/>
        <w:rPr>
          <w:rFonts w:hint="eastAsia" w:ascii="黑体" w:eastAsia="黑体"/>
          <w:color w:val="000000"/>
          <w:sz w:val="52"/>
          <w:highlight w:val="none"/>
          <w:shd w:val="clear" w:color="auto" w:fill="auto"/>
        </w:rPr>
      </w:pPr>
    </w:p>
    <w:p w14:paraId="49A64F60">
      <w:pPr>
        <w:spacing w:line="360" w:lineRule="auto"/>
        <w:jc w:val="center"/>
        <w:rPr>
          <w:rFonts w:hint="eastAsia" w:ascii="黑体" w:eastAsia="黑体"/>
          <w:color w:val="000000"/>
          <w:sz w:val="52"/>
          <w:highlight w:val="none"/>
          <w:shd w:val="clear" w:color="auto" w:fill="auto"/>
        </w:rPr>
      </w:pPr>
    </w:p>
    <w:p w14:paraId="7908D1D1">
      <w:pPr>
        <w:spacing w:line="360" w:lineRule="auto"/>
        <w:jc w:val="center"/>
        <w:rPr>
          <w:rFonts w:hint="eastAsia" w:ascii="黑体" w:eastAsia="黑体"/>
          <w:color w:val="000000"/>
          <w:sz w:val="52"/>
          <w:highlight w:val="none"/>
          <w:shd w:val="clear" w:color="auto" w:fill="auto"/>
        </w:rPr>
      </w:pPr>
    </w:p>
    <w:p w14:paraId="69C2051B">
      <w:pPr>
        <w:spacing w:line="360" w:lineRule="auto"/>
        <w:jc w:val="center"/>
        <w:rPr>
          <w:rFonts w:hint="eastAsia" w:ascii="黑体" w:eastAsia="黑体"/>
          <w:color w:val="000000"/>
          <w:sz w:val="52"/>
          <w:highlight w:val="none"/>
          <w:shd w:val="clear" w:color="auto" w:fill="auto"/>
        </w:rPr>
      </w:pPr>
    </w:p>
    <w:p w14:paraId="183F1629">
      <w:pPr>
        <w:spacing w:line="360" w:lineRule="auto"/>
        <w:jc w:val="center"/>
        <w:rPr>
          <w:rFonts w:hint="eastAsia" w:ascii="楷体_GB2312" w:eastAsia="楷体_GB2312"/>
          <w:color w:val="000000"/>
          <w:sz w:val="32"/>
          <w:highlight w:val="none"/>
          <w:shd w:val="clear" w:color="auto" w:fill="auto"/>
        </w:rPr>
      </w:pPr>
    </w:p>
    <w:p w14:paraId="79F536E0">
      <w:pPr>
        <w:spacing w:line="360" w:lineRule="auto"/>
        <w:jc w:val="center"/>
        <w:rPr>
          <w:rFonts w:hint="eastAsia" w:ascii="楷体_GB2312" w:eastAsia="楷体_GB2312"/>
          <w:color w:val="000000"/>
          <w:sz w:val="32"/>
          <w:highlight w:val="none"/>
          <w:shd w:val="clear" w:color="auto" w:fill="auto"/>
        </w:rPr>
      </w:pPr>
    </w:p>
    <w:p w14:paraId="7EC42FD1">
      <w:pPr>
        <w:spacing w:line="360" w:lineRule="auto"/>
        <w:jc w:val="center"/>
        <w:rPr>
          <w:rFonts w:hint="eastAsia" w:ascii="仿宋_GB2312" w:hAnsi="仿宋_GB2312" w:eastAsia="仿宋_GB2312" w:cs="仿宋_GB2312"/>
          <w:color w:val="000000"/>
          <w:sz w:val="32"/>
          <w:szCs w:val="24"/>
          <w:highlight w:val="none"/>
          <w:shd w:val="clear" w:color="auto" w:fill="auto"/>
        </w:rPr>
      </w:pPr>
      <w:r>
        <w:rPr>
          <w:rFonts w:hint="eastAsia" w:ascii="仿宋_GB2312" w:hAnsi="仿宋_GB2312" w:eastAsia="仿宋_GB2312" w:cs="仿宋_GB2312"/>
          <w:color w:val="000000"/>
          <w:sz w:val="32"/>
          <w:szCs w:val="24"/>
          <w:highlight w:val="none"/>
          <w:shd w:val="clear" w:color="auto" w:fill="auto"/>
        </w:rPr>
        <w:t>河南省社会科学界联合会</w:t>
      </w:r>
    </w:p>
    <w:p w14:paraId="4B42FB1C">
      <w:pPr>
        <w:spacing w:line="360" w:lineRule="auto"/>
        <w:jc w:val="center"/>
        <w:rPr>
          <w:rFonts w:hint="eastAsia" w:ascii="仿宋_GB2312" w:hAnsi="仿宋_GB2312" w:eastAsia="仿宋_GB2312" w:cs="仿宋_GB2312"/>
          <w:color w:val="000000"/>
          <w:sz w:val="32"/>
          <w:szCs w:val="24"/>
          <w:highlight w:val="none"/>
          <w:shd w:val="clear" w:color="auto" w:fill="auto"/>
        </w:rPr>
      </w:pPr>
      <w:r>
        <w:rPr>
          <w:rFonts w:hint="eastAsia" w:ascii="仿宋_GB2312" w:hAnsi="仿宋_GB2312" w:eastAsia="仿宋_GB2312" w:cs="仿宋_GB2312"/>
          <w:color w:val="000000"/>
          <w:sz w:val="32"/>
          <w:szCs w:val="24"/>
          <w:highlight w:val="none"/>
          <w:shd w:val="clear" w:color="auto" w:fill="auto"/>
        </w:rPr>
        <w:t>202</w:t>
      </w:r>
      <w:r>
        <w:rPr>
          <w:rFonts w:hint="eastAsia" w:ascii="仿宋_GB2312" w:hAnsi="仿宋_GB2312" w:eastAsia="仿宋_GB2312" w:cs="仿宋_GB2312"/>
          <w:color w:val="000000"/>
          <w:sz w:val="32"/>
          <w:szCs w:val="24"/>
          <w:highlight w:val="none"/>
          <w:shd w:val="clear" w:color="auto" w:fill="auto"/>
          <w:lang w:val="en-US" w:eastAsia="zh-CN"/>
        </w:rPr>
        <w:t>6</w:t>
      </w:r>
      <w:r>
        <w:rPr>
          <w:rFonts w:hint="eastAsia" w:ascii="仿宋_GB2312" w:hAnsi="仿宋_GB2312" w:eastAsia="仿宋_GB2312" w:cs="仿宋_GB2312"/>
          <w:color w:val="000000"/>
          <w:sz w:val="32"/>
          <w:szCs w:val="24"/>
          <w:highlight w:val="none"/>
          <w:shd w:val="clear" w:color="auto" w:fill="auto"/>
        </w:rPr>
        <w:t>年</w:t>
      </w:r>
      <w:r>
        <w:rPr>
          <w:rFonts w:hint="eastAsia" w:ascii="仿宋_GB2312" w:hAnsi="仿宋_GB2312" w:eastAsia="仿宋_GB2312" w:cs="仿宋_GB2312"/>
          <w:color w:val="000000"/>
          <w:sz w:val="32"/>
          <w:szCs w:val="24"/>
          <w:highlight w:val="none"/>
          <w:shd w:val="clear" w:color="auto" w:fill="auto"/>
          <w:lang w:val="en-US" w:eastAsia="zh-CN"/>
        </w:rPr>
        <w:t>3</w:t>
      </w:r>
      <w:r>
        <w:rPr>
          <w:rFonts w:hint="eastAsia" w:ascii="仿宋_GB2312" w:hAnsi="仿宋_GB2312" w:eastAsia="仿宋_GB2312" w:cs="仿宋_GB2312"/>
          <w:color w:val="000000"/>
          <w:sz w:val="32"/>
          <w:szCs w:val="24"/>
          <w:highlight w:val="none"/>
          <w:shd w:val="clear" w:color="auto" w:fill="auto"/>
        </w:rPr>
        <w:t>月</w:t>
      </w:r>
    </w:p>
    <w:p w14:paraId="3AB49A69">
      <w:pPr>
        <w:spacing w:line="420" w:lineRule="exact"/>
        <w:jc w:val="both"/>
        <w:rPr>
          <w:rFonts w:hint="eastAsia" w:ascii="黑体" w:eastAsia="黑体"/>
          <w:color w:val="000000"/>
          <w:sz w:val="36"/>
          <w:highlight w:val="none"/>
          <w:shd w:val="clear" w:color="auto" w:fill="auto"/>
        </w:rPr>
      </w:pPr>
    </w:p>
    <w:p w14:paraId="368A8341">
      <w:pPr>
        <w:spacing w:line="420" w:lineRule="exact"/>
        <w:jc w:val="center"/>
        <w:rPr>
          <w:rFonts w:hint="eastAsia" w:ascii="黑体" w:eastAsia="黑体"/>
          <w:color w:val="000000"/>
          <w:sz w:val="36"/>
          <w:highlight w:val="none"/>
          <w:shd w:val="clear" w:color="auto" w:fill="auto"/>
        </w:rPr>
      </w:pPr>
    </w:p>
    <w:p w14:paraId="39C66283">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黑体" w:eastAsia="黑体"/>
          <w:color w:val="000000"/>
          <w:sz w:val="36"/>
          <w:highlight w:val="none"/>
        </w:rPr>
      </w:pPr>
    </w:p>
    <w:p w14:paraId="041E4E55">
      <w:pPr>
        <w:keepNext w:val="0"/>
        <w:keepLines w:val="0"/>
        <w:pageBreakBefore w:val="0"/>
        <w:widowControl w:val="0"/>
        <w:kinsoku/>
        <w:overflowPunct/>
        <w:topLinePunct w:val="0"/>
        <w:autoSpaceDE/>
        <w:autoSpaceDN/>
        <w:bidi w:val="0"/>
        <w:adjustRightInd/>
        <w:snapToGrid/>
        <w:spacing w:line="580" w:lineRule="exact"/>
        <w:jc w:val="center"/>
        <w:textAlignment w:val="auto"/>
        <w:rPr>
          <w:rFonts w:hint="eastAsia" w:ascii="黑体" w:eastAsia="黑体"/>
          <w:color w:val="000000"/>
          <w:sz w:val="36"/>
          <w:highlight w:val="none"/>
        </w:rPr>
      </w:pPr>
      <w:r>
        <w:rPr>
          <w:rFonts w:hint="eastAsia" w:ascii="黑体" w:eastAsia="黑体"/>
          <w:color w:val="000000"/>
          <w:sz w:val="36"/>
          <w:highlight w:val="none"/>
        </w:rPr>
        <w:t>说    明</w:t>
      </w:r>
    </w:p>
    <w:p w14:paraId="1B8DC855">
      <w:pPr>
        <w:keepNext w:val="0"/>
        <w:keepLines w:val="0"/>
        <w:pageBreakBefore w:val="0"/>
        <w:widowControl w:val="0"/>
        <w:kinsoku/>
        <w:overflowPunct/>
        <w:topLinePunct w:val="0"/>
        <w:autoSpaceDE/>
        <w:autoSpaceDN/>
        <w:bidi w:val="0"/>
        <w:adjustRightInd/>
        <w:snapToGrid/>
        <w:spacing w:line="580" w:lineRule="exact"/>
        <w:ind w:firstLine="480" w:firstLineChars="200"/>
        <w:textAlignment w:val="auto"/>
        <w:rPr>
          <w:rFonts w:hint="eastAsia" w:ascii="仿宋_GB2312" w:eastAsia="仿宋_GB2312"/>
          <w:color w:val="000000"/>
          <w:sz w:val="24"/>
          <w:highlight w:val="none"/>
        </w:rPr>
      </w:pPr>
    </w:p>
    <w:p w14:paraId="3D16CC7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bCs/>
          <w:color w:val="000000"/>
          <w:sz w:val="24"/>
          <w:highlight w:val="none"/>
        </w:rPr>
      </w:pPr>
      <w:r>
        <w:rPr>
          <w:rFonts w:hint="eastAsia" w:ascii="仿宋" w:hAnsi="仿宋" w:eastAsia="仿宋"/>
          <w:bCs/>
          <w:color w:val="000000"/>
          <w:sz w:val="24"/>
          <w:highlight w:val="none"/>
        </w:rPr>
        <w:t>一、</w:t>
      </w:r>
      <w:r>
        <w:rPr>
          <w:rFonts w:hint="eastAsia" w:ascii="仿宋" w:hAnsi="仿宋" w:eastAsia="仿宋"/>
          <w:bCs/>
          <w:color w:val="000000"/>
          <w:sz w:val="24"/>
          <w:highlight w:val="none"/>
          <w:lang w:val="en-US" w:eastAsia="zh-CN"/>
        </w:rPr>
        <w:t>2026</w:t>
      </w:r>
      <w:r>
        <w:rPr>
          <w:rFonts w:hint="eastAsia" w:ascii="仿宋" w:hAnsi="仿宋" w:eastAsia="仿宋"/>
          <w:bCs/>
          <w:color w:val="000000"/>
          <w:sz w:val="24"/>
          <w:highlight w:val="none"/>
          <w:lang w:eastAsia="zh-CN"/>
        </w:rPr>
        <w:t>年度调研课题申报和评审工作坚持以习近平新时代中国特色社会主义思想为指导，深入贯彻落实党的二十大和二十届三中、四中全会，中央经济工作会议以及省委十一届十次全会精神，围绕重大国家战略，聚焦省委、省政府中心工作，紧扣</w:t>
      </w:r>
      <w:r>
        <w:rPr>
          <w:rFonts w:hint="eastAsia" w:ascii="仿宋" w:hAnsi="仿宋" w:eastAsia="仿宋"/>
          <w:bCs/>
          <w:color w:val="000000"/>
          <w:sz w:val="24"/>
          <w:highlight w:val="none"/>
          <w:lang w:val="en-US" w:eastAsia="zh-CN"/>
        </w:rPr>
        <w:t>中原大地推进中国式现代化</w:t>
      </w:r>
      <w:r>
        <w:rPr>
          <w:rFonts w:hint="eastAsia" w:ascii="仿宋" w:hAnsi="仿宋" w:eastAsia="仿宋"/>
          <w:bCs/>
          <w:color w:val="000000"/>
          <w:sz w:val="24"/>
          <w:highlight w:val="none"/>
          <w:lang w:eastAsia="zh-CN"/>
        </w:rPr>
        <w:t>、哲学社会科学事业繁荣发展等重点难点热点问题，着力开展前瞻性、全局性、战略性研究，大力推动实践基础上的理论创新，力争推出有理论说服力、有实践指导意义、有决策参考价值的精品力作，为服务省委省政府科学决策提供切实有效的智力支持。</w:t>
      </w:r>
    </w:p>
    <w:p w14:paraId="479142C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bCs/>
          <w:color w:val="000000"/>
          <w:sz w:val="24"/>
          <w:highlight w:val="none"/>
          <w:lang w:val="en-US" w:eastAsia="zh-CN"/>
        </w:rPr>
      </w:pPr>
      <w:r>
        <w:rPr>
          <w:rFonts w:hint="eastAsia" w:ascii="仿宋" w:hAnsi="仿宋" w:eastAsia="仿宋"/>
          <w:bCs/>
          <w:color w:val="000000"/>
          <w:sz w:val="24"/>
          <w:highlight w:val="none"/>
          <w:lang w:eastAsia="zh-CN"/>
        </w:rPr>
        <w:t>二、</w:t>
      </w:r>
      <w:r>
        <w:rPr>
          <w:rFonts w:hint="eastAsia" w:ascii="仿宋" w:hAnsi="仿宋" w:eastAsia="仿宋"/>
          <w:bCs/>
          <w:color w:val="000000"/>
          <w:sz w:val="24"/>
          <w:highlight w:val="none"/>
          <w:lang w:val="en-US" w:eastAsia="zh-CN"/>
        </w:rPr>
        <w:t>课题申报人应严格依据课题指南所确定的选题方向，结合自身研究基础和学术专长，自行拟定申报题目。严禁直接使用指南原题进行申报。此外，本次申报不接受自选方向课题。</w:t>
      </w:r>
    </w:p>
    <w:p w14:paraId="1D779E21">
      <w:pPr>
        <w:keepNext w:val="0"/>
        <w:keepLines w:val="0"/>
        <w:pageBreakBefore w:val="0"/>
        <w:widowControl w:val="0"/>
        <w:kinsoku/>
        <w:wordWrap w:val="0"/>
        <w:overflowPunct/>
        <w:topLinePunct w:val="0"/>
        <w:autoSpaceDE/>
        <w:autoSpaceDN/>
        <w:bidi w:val="0"/>
        <w:adjustRightInd/>
        <w:snapToGrid/>
        <w:spacing w:line="520" w:lineRule="exact"/>
        <w:ind w:firstLine="480" w:firstLineChars="200"/>
        <w:textAlignment w:val="auto"/>
        <w:rPr>
          <w:rFonts w:hint="eastAsia" w:ascii="仿宋" w:hAnsi="仿宋" w:eastAsia="仿宋"/>
          <w:bCs/>
          <w:color w:val="000000"/>
          <w:sz w:val="24"/>
          <w:highlight w:val="none"/>
          <w:lang w:eastAsia="zh-CN"/>
        </w:rPr>
      </w:pPr>
      <w:r>
        <w:rPr>
          <w:rFonts w:hint="eastAsia" w:ascii="仿宋" w:hAnsi="仿宋" w:eastAsia="仿宋"/>
          <w:bCs/>
          <w:color w:val="000000"/>
          <w:sz w:val="24"/>
          <w:highlight w:val="none"/>
          <w:lang w:eastAsia="zh-CN"/>
        </w:rPr>
        <w:t>三、</w:t>
      </w:r>
      <w:r>
        <w:rPr>
          <w:rFonts w:hint="eastAsia" w:ascii="仿宋" w:hAnsi="仿宋" w:eastAsia="仿宋"/>
          <w:b w:val="0"/>
          <w:bCs/>
          <w:color w:val="000000"/>
          <w:sz w:val="24"/>
          <w:highlight w:val="none"/>
          <w:lang w:eastAsia="zh-CN"/>
        </w:rPr>
        <w:t>课题申报流程</w:t>
      </w:r>
      <w:r>
        <w:rPr>
          <w:rFonts w:hint="eastAsia" w:ascii="仿宋" w:hAnsi="仿宋" w:eastAsia="仿宋"/>
          <w:bCs/>
          <w:color w:val="000000"/>
          <w:sz w:val="24"/>
          <w:highlight w:val="none"/>
          <w:lang w:eastAsia="zh-CN"/>
        </w:rPr>
        <w:t>。202</w:t>
      </w:r>
      <w:r>
        <w:rPr>
          <w:rFonts w:hint="eastAsia" w:ascii="仿宋" w:hAnsi="仿宋" w:eastAsia="仿宋"/>
          <w:bCs/>
          <w:color w:val="000000"/>
          <w:sz w:val="24"/>
          <w:highlight w:val="none"/>
          <w:lang w:val="en-US" w:eastAsia="zh-CN"/>
        </w:rPr>
        <w:t>6</w:t>
      </w:r>
      <w:r>
        <w:rPr>
          <w:rFonts w:hint="eastAsia" w:ascii="仿宋" w:hAnsi="仿宋" w:eastAsia="仿宋"/>
          <w:bCs/>
          <w:color w:val="000000"/>
          <w:sz w:val="24"/>
          <w:highlight w:val="none"/>
          <w:lang w:eastAsia="zh-CN"/>
        </w:rPr>
        <w:t>年度省社科联调研课题实行网络申报。申报人需登录“河南省社科联调研课题管理信息系统”（http://222.143.64.226/dykt/system.login），上传申报表（不需提交纸质材料）。系统于</w:t>
      </w:r>
      <w:r>
        <w:rPr>
          <w:rFonts w:hint="eastAsia" w:ascii="仿宋" w:hAnsi="仿宋" w:eastAsia="仿宋"/>
          <w:bCs/>
          <w:color w:val="000000"/>
          <w:sz w:val="24"/>
          <w:highlight w:val="none"/>
          <w:lang w:val="en-US" w:eastAsia="zh-CN"/>
        </w:rPr>
        <w:t>2026年4</w:t>
      </w:r>
      <w:r>
        <w:rPr>
          <w:rFonts w:hint="eastAsia" w:ascii="仿宋" w:hAnsi="仿宋" w:eastAsia="仿宋"/>
          <w:bCs/>
          <w:color w:val="000000"/>
          <w:sz w:val="24"/>
          <w:highlight w:val="none"/>
          <w:lang w:eastAsia="zh-CN"/>
        </w:rPr>
        <w:t>月</w:t>
      </w:r>
      <w:r>
        <w:rPr>
          <w:rFonts w:hint="eastAsia" w:ascii="仿宋" w:hAnsi="仿宋" w:eastAsia="仿宋"/>
          <w:bCs/>
          <w:color w:val="000000"/>
          <w:sz w:val="24"/>
          <w:highlight w:val="none"/>
          <w:lang w:val="en-US" w:eastAsia="zh-CN"/>
        </w:rPr>
        <w:t>7</w:t>
      </w:r>
      <w:r>
        <w:rPr>
          <w:rFonts w:hint="eastAsia" w:ascii="仿宋" w:hAnsi="仿宋" w:eastAsia="仿宋"/>
          <w:bCs/>
          <w:color w:val="000000"/>
          <w:sz w:val="24"/>
          <w:highlight w:val="none"/>
          <w:lang w:eastAsia="zh-CN"/>
        </w:rPr>
        <w:t>日</w:t>
      </w:r>
      <w:r>
        <w:rPr>
          <w:rFonts w:hint="eastAsia" w:ascii="仿宋" w:hAnsi="仿宋" w:eastAsia="仿宋"/>
          <w:bCs/>
          <w:color w:val="000000"/>
          <w:sz w:val="24"/>
          <w:highlight w:val="none"/>
          <w:lang w:val="en-US" w:eastAsia="zh-CN"/>
        </w:rPr>
        <w:t>10</w:t>
      </w:r>
      <w:r>
        <w:rPr>
          <w:rFonts w:hint="eastAsia" w:ascii="仿宋" w:hAnsi="仿宋" w:eastAsia="仿宋"/>
          <w:bCs/>
          <w:color w:val="000000"/>
          <w:sz w:val="24"/>
          <w:highlight w:val="none"/>
          <w:lang w:eastAsia="zh-CN"/>
        </w:rPr>
        <w:t>时至</w:t>
      </w:r>
      <w:r>
        <w:rPr>
          <w:rFonts w:hint="eastAsia" w:ascii="仿宋" w:hAnsi="仿宋" w:eastAsia="仿宋"/>
          <w:bCs/>
          <w:color w:val="000000"/>
          <w:sz w:val="24"/>
          <w:highlight w:val="none"/>
          <w:lang w:val="en-US" w:eastAsia="zh-CN"/>
        </w:rPr>
        <w:t>4</w:t>
      </w:r>
      <w:r>
        <w:rPr>
          <w:rFonts w:hint="eastAsia" w:ascii="仿宋" w:hAnsi="仿宋" w:eastAsia="仿宋"/>
          <w:bCs/>
          <w:color w:val="000000"/>
          <w:sz w:val="24"/>
          <w:highlight w:val="none"/>
          <w:lang w:eastAsia="zh-CN"/>
        </w:rPr>
        <w:t>月</w:t>
      </w:r>
      <w:r>
        <w:rPr>
          <w:rFonts w:hint="eastAsia" w:ascii="仿宋" w:hAnsi="仿宋" w:eastAsia="仿宋"/>
          <w:bCs/>
          <w:color w:val="000000"/>
          <w:sz w:val="24"/>
          <w:highlight w:val="none"/>
          <w:lang w:val="en-US" w:eastAsia="zh-CN"/>
        </w:rPr>
        <w:t>14</w:t>
      </w:r>
      <w:r>
        <w:rPr>
          <w:rFonts w:hint="eastAsia" w:ascii="仿宋" w:hAnsi="仿宋" w:eastAsia="仿宋"/>
          <w:bCs/>
          <w:color w:val="000000"/>
          <w:sz w:val="24"/>
          <w:highlight w:val="none"/>
          <w:lang w:eastAsia="zh-CN"/>
        </w:rPr>
        <w:t>日</w:t>
      </w:r>
      <w:r>
        <w:rPr>
          <w:rFonts w:hint="eastAsia" w:ascii="仿宋" w:hAnsi="仿宋" w:eastAsia="仿宋"/>
          <w:bCs/>
          <w:color w:val="000000"/>
          <w:sz w:val="24"/>
          <w:highlight w:val="none"/>
          <w:lang w:val="en-US" w:eastAsia="zh-CN"/>
        </w:rPr>
        <w:t>17</w:t>
      </w:r>
      <w:r>
        <w:rPr>
          <w:rFonts w:hint="eastAsia" w:ascii="仿宋" w:hAnsi="仿宋" w:eastAsia="仿宋"/>
          <w:bCs/>
          <w:color w:val="000000"/>
          <w:sz w:val="24"/>
          <w:highlight w:val="none"/>
          <w:lang w:eastAsia="zh-CN"/>
        </w:rPr>
        <w:t>时开放，逾期系统自动关闭，不再受理申报。有关申报系统流程及技术问题请咨询</w:t>
      </w:r>
      <w:r>
        <w:rPr>
          <w:rFonts w:hint="eastAsia" w:ascii="仿宋" w:hAnsi="仿宋" w:eastAsia="仿宋"/>
          <w:bCs/>
          <w:color w:val="000000"/>
          <w:sz w:val="24"/>
          <w:highlight w:val="none"/>
          <w:lang w:val="en-US" w:eastAsia="zh-CN"/>
        </w:rPr>
        <w:t>0371—60303090。</w:t>
      </w:r>
    </w:p>
    <w:p w14:paraId="4AAE657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olor w:val="000000"/>
          <w:sz w:val="24"/>
          <w:highlight w:val="none"/>
          <w:lang w:eastAsia="zh-CN"/>
        </w:rPr>
      </w:pPr>
      <w:r>
        <w:rPr>
          <w:rFonts w:hint="eastAsia" w:ascii="仿宋" w:hAnsi="仿宋" w:eastAsia="仿宋"/>
          <w:bCs/>
          <w:color w:val="000000"/>
          <w:sz w:val="24"/>
          <w:highlight w:val="none"/>
          <w:lang w:eastAsia="zh-CN"/>
        </w:rPr>
        <w:t>四、</w:t>
      </w:r>
      <w:r>
        <w:rPr>
          <w:rFonts w:hint="eastAsia" w:ascii="仿宋" w:hAnsi="仿宋" w:eastAsia="仿宋"/>
          <w:b w:val="0"/>
          <w:bCs/>
          <w:color w:val="000000"/>
          <w:sz w:val="24"/>
          <w:highlight w:val="none"/>
          <w:lang w:eastAsia="zh-CN"/>
        </w:rPr>
        <w:t>课题验收</w:t>
      </w:r>
      <w:r>
        <w:rPr>
          <w:rFonts w:hint="eastAsia" w:ascii="仿宋" w:hAnsi="仿宋" w:eastAsia="仿宋"/>
          <w:bCs/>
          <w:color w:val="000000"/>
          <w:sz w:val="24"/>
          <w:highlight w:val="none"/>
          <w:lang w:eastAsia="zh-CN"/>
        </w:rPr>
        <w:t>。</w:t>
      </w:r>
      <w:r>
        <w:rPr>
          <w:rFonts w:hint="eastAsia" w:ascii="仿宋" w:hAnsi="仿宋" w:eastAsia="仿宋"/>
          <w:b/>
          <w:bCs w:val="0"/>
          <w:color w:val="000000"/>
          <w:sz w:val="24"/>
          <w:highlight w:val="none"/>
          <w:lang w:eastAsia="zh-CN"/>
        </w:rPr>
        <w:t>申报课题获准立项后，课题主持人、成员不得更换。</w:t>
      </w:r>
      <w:r>
        <w:rPr>
          <w:rFonts w:hint="eastAsia" w:ascii="仿宋" w:hAnsi="仿宋" w:eastAsia="仿宋"/>
          <w:bCs/>
          <w:color w:val="000000"/>
          <w:sz w:val="24"/>
          <w:highlight w:val="none"/>
          <w:lang w:eastAsia="zh-CN"/>
        </w:rPr>
        <w:t>主持人应按照《立项通知书》要求，在规定时间内完成课题调研与报告撰写任务，按照时间要求将课题报告提交至“河南省社科联调研课题管理系统”。经专家组评审</w:t>
      </w:r>
      <w:r>
        <w:rPr>
          <w:rFonts w:hint="eastAsia" w:ascii="仿宋" w:hAnsi="仿宋" w:eastAsia="仿宋"/>
          <w:color w:val="000000"/>
          <w:sz w:val="24"/>
          <w:highlight w:val="none"/>
          <w:lang w:eastAsia="zh-CN"/>
        </w:rPr>
        <w:t>后，对验收合格的课题成果，向课题组成员颁发结项证书。</w:t>
      </w:r>
    </w:p>
    <w:p w14:paraId="2CAFBF53">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eastAsia" w:ascii="仿宋" w:hAnsi="仿宋" w:eastAsia="仿宋"/>
          <w:color w:val="000000"/>
          <w:sz w:val="24"/>
          <w:highlight w:val="none"/>
          <w:lang w:eastAsia="zh-CN"/>
        </w:rPr>
      </w:pPr>
      <w:r>
        <w:rPr>
          <w:rFonts w:hint="eastAsia" w:ascii="仿宋" w:hAnsi="仿宋" w:eastAsia="仿宋"/>
          <w:color w:val="000000"/>
          <w:sz w:val="24"/>
          <w:highlight w:val="none"/>
          <w:lang w:eastAsia="zh-CN"/>
        </w:rPr>
        <w:t>联系地址：郑州市丰产路23号河南省社科联学会处</w:t>
      </w:r>
      <w:r>
        <w:rPr>
          <w:rFonts w:hint="eastAsia" w:ascii="仿宋" w:hAnsi="仿宋" w:eastAsia="仿宋"/>
          <w:color w:val="000000"/>
          <w:sz w:val="24"/>
          <w:highlight w:val="none"/>
          <w:lang w:val="en-US" w:eastAsia="zh-CN"/>
        </w:rPr>
        <w:t xml:space="preserve">   </w:t>
      </w:r>
    </w:p>
    <w:p w14:paraId="4865B760">
      <w:pPr>
        <w:keepNext w:val="0"/>
        <w:keepLines w:val="0"/>
        <w:pageBreakBefore w:val="0"/>
        <w:widowControl w:val="0"/>
        <w:kinsoku/>
        <w:wordWrap/>
        <w:overflowPunct/>
        <w:topLinePunct w:val="0"/>
        <w:autoSpaceDE/>
        <w:autoSpaceDN/>
        <w:bidi w:val="0"/>
        <w:adjustRightInd/>
        <w:snapToGrid/>
        <w:spacing w:line="520" w:lineRule="exact"/>
        <w:ind w:firstLine="600"/>
        <w:textAlignment w:val="auto"/>
        <w:rPr>
          <w:rFonts w:hint="eastAsia" w:ascii="仿宋" w:hAnsi="仿宋" w:eastAsia="仿宋"/>
          <w:color w:val="000000"/>
          <w:sz w:val="24"/>
          <w:highlight w:val="none"/>
          <w:lang w:eastAsia="zh-CN"/>
        </w:rPr>
      </w:pPr>
      <w:r>
        <w:rPr>
          <w:rFonts w:hint="eastAsia" w:ascii="仿宋" w:hAnsi="仿宋" w:eastAsia="仿宋"/>
          <w:color w:val="000000"/>
          <w:sz w:val="24"/>
          <w:highlight w:val="none"/>
          <w:lang w:eastAsia="zh-CN"/>
        </w:rPr>
        <w:t>电</w:t>
      </w:r>
      <w:r>
        <w:rPr>
          <w:rFonts w:hint="eastAsia" w:ascii="仿宋" w:hAnsi="仿宋" w:eastAsia="仿宋"/>
          <w:color w:val="000000"/>
          <w:sz w:val="24"/>
          <w:highlight w:val="none"/>
          <w:lang w:val="en-US" w:eastAsia="zh-CN"/>
        </w:rPr>
        <w:t xml:space="preserve">   </w:t>
      </w:r>
      <w:r>
        <w:rPr>
          <w:rFonts w:hint="eastAsia" w:ascii="仿宋" w:hAnsi="仿宋" w:eastAsia="仿宋"/>
          <w:color w:val="000000"/>
          <w:sz w:val="24"/>
          <w:highlight w:val="none"/>
          <w:lang w:eastAsia="zh-CN"/>
        </w:rPr>
        <w:t xml:space="preserve"> 话：0371</w:t>
      </w:r>
      <w:r>
        <w:rPr>
          <w:rFonts w:hint="eastAsia" w:ascii="仿宋" w:hAnsi="仿宋" w:eastAsia="仿宋"/>
          <w:color w:val="000000"/>
          <w:sz w:val="24"/>
          <w:highlight w:val="none"/>
          <w:lang w:val="en-US" w:eastAsia="zh-CN"/>
        </w:rPr>
        <w:t>—</w:t>
      </w:r>
      <w:r>
        <w:rPr>
          <w:rFonts w:hint="eastAsia" w:ascii="仿宋" w:hAnsi="仿宋" w:eastAsia="仿宋"/>
          <w:color w:val="000000"/>
          <w:sz w:val="24"/>
          <w:highlight w:val="none"/>
          <w:lang w:eastAsia="zh-CN"/>
        </w:rPr>
        <w:t>6393606</w:t>
      </w:r>
      <w:r>
        <w:rPr>
          <w:rFonts w:hint="eastAsia" w:ascii="仿宋" w:hAnsi="仿宋" w:eastAsia="仿宋"/>
          <w:color w:val="000000"/>
          <w:sz w:val="24"/>
          <w:highlight w:val="none"/>
          <w:lang w:val="en-US" w:eastAsia="zh-CN"/>
        </w:rPr>
        <w:t>1</w:t>
      </w:r>
    </w:p>
    <w:p w14:paraId="117DD2AB">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方正小标宋简体" w:hAnsi="方正小标宋简体" w:eastAsia="方正小标宋简体" w:cs="方正小标宋简体"/>
          <w:b w:val="0"/>
          <w:bCs w:val="0"/>
          <w:color w:val="auto"/>
          <w:sz w:val="44"/>
          <w:lang w:eastAsia="zh-CN"/>
        </w:rPr>
      </w:pPr>
    </w:p>
    <w:p w14:paraId="38C51E11">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 w:val="0"/>
          <w:bCs w:val="0"/>
          <w:color w:val="auto"/>
          <w:sz w:val="44"/>
          <w:lang w:eastAsia="zh-CN"/>
        </w:rPr>
      </w:pPr>
    </w:p>
    <w:p w14:paraId="7FD1F4D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b w:val="0"/>
          <w:bCs w:val="0"/>
          <w:color w:val="auto"/>
          <w:sz w:val="44"/>
          <w:lang w:eastAsia="zh-CN"/>
        </w:rPr>
      </w:pPr>
      <w:r>
        <w:rPr>
          <w:rFonts w:hint="eastAsia" w:ascii="方正小标宋简体" w:hAnsi="方正小标宋简体" w:eastAsia="方正小标宋简体" w:cs="方正小标宋简体"/>
          <w:b w:val="0"/>
          <w:bCs w:val="0"/>
          <w:color w:val="auto"/>
          <w:sz w:val="44"/>
          <w:lang w:eastAsia="zh-CN"/>
        </w:rPr>
        <w:t>河南省社科联</w:t>
      </w:r>
      <w:r>
        <w:rPr>
          <w:rFonts w:hint="eastAsia" w:ascii="方正小标宋简体" w:hAnsi="方正小标宋简体" w:eastAsia="方正小标宋简体" w:cs="方正小标宋简体"/>
          <w:b w:val="0"/>
          <w:bCs w:val="0"/>
          <w:color w:val="auto"/>
          <w:sz w:val="44"/>
          <w:lang w:val="en-US" w:eastAsia="zh-CN"/>
        </w:rPr>
        <w:t>20</w:t>
      </w:r>
      <w:r>
        <w:rPr>
          <w:rFonts w:hint="eastAsia" w:ascii="方正小标宋简体" w:hAnsi="方正小标宋简体" w:eastAsia="方正小标宋简体" w:cs="方正小标宋简体"/>
          <w:b w:val="0"/>
          <w:bCs w:val="0"/>
          <w:color w:val="auto"/>
          <w:sz w:val="44"/>
          <w:lang w:eastAsia="zh-CN"/>
        </w:rPr>
        <w:t>2</w:t>
      </w:r>
      <w:r>
        <w:rPr>
          <w:rFonts w:hint="eastAsia" w:ascii="方正小标宋简体" w:hAnsi="方正小标宋简体" w:eastAsia="方正小标宋简体" w:cs="方正小标宋简体"/>
          <w:b w:val="0"/>
          <w:bCs w:val="0"/>
          <w:color w:val="auto"/>
          <w:sz w:val="44"/>
          <w:lang w:val="en-US" w:eastAsia="zh-CN"/>
        </w:rPr>
        <w:t>6</w:t>
      </w:r>
      <w:r>
        <w:rPr>
          <w:rFonts w:hint="eastAsia" w:ascii="方正小标宋简体" w:hAnsi="方正小标宋简体" w:eastAsia="方正小标宋简体" w:cs="方正小标宋简体"/>
          <w:b w:val="0"/>
          <w:bCs w:val="0"/>
          <w:color w:val="auto"/>
          <w:sz w:val="44"/>
          <w:lang w:eastAsia="zh-CN"/>
        </w:rPr>
        <w:t>年度调研课题指南</w:t>
      </w:r>
    </w:p>
    <w:p w14:paraId="1C9BA1CA">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rPr>
          <w:rFonts w:hint="eastAsia"/>
          <w:b w:val="0"/>
          <w:bCs w:val="0"/>
          <w:color w:val="auto"/>
          <w:sz w:val="44"/>
          <w:lang w:eastAsia="zh-CN"/>
        </w:rPr>
      </w:pPr>
      <w:r>
        <w:rPr>
          <w:rFonts w:hint="eastAsia" w:ascii="方正小标宋简体" w:hAnsi="方正小标宋简体" w:eastAsia="方正小标宋简体" w:cs="方正小标宋简体"/>
          <w:b w:val="0"/>
          <w:bCs w:val="0"/>
          <w:color w:val="auto"/>
          <w:sz w:val="44"/>
          <w:lang w:eastAsia="zh-CN"/>
        </w:rPr>
        <w:t>选题方向（</w:t>
      </w:r>
      <w:r>
        <w:rPr>
          <w:rFonts w:hint="eastAsia" w:ascii="方正小标宋简体" w:hAnsi="方正小标宋简体" w:eastAsia="方正小标宋简体" w:cs="方正小标宋简体"/>
          <w:b w:val="0"/>
          <w:bCs w:val="0"/>
          <w:color w:val="auto"/>
          <w:sz w:val="44"/>
          <w:lang w:val="en-US" w:eastAsia="zh-CN"/>
        </w:rPr>
        <w:t>150项</w:t>
      </w:r>
      <w:r>
        <w:rPr>
          <w:rFonts w:hint="eastAsia" w:ascii="方正小标宋简体" w:hAnsi="方正小标宋简体" w:eastAsia="方正小标宋简体" w:cs="方正小标宋简体"/>
          <w:b w:val="0"/>
          <w:bCs w:val="0"/>
          <w:color w:val="auto"/>
          <w:sz w:val="44"/>
          <w:lang w:eastAsia="zh-CN"/>
        </w:rPr>
        <w:t>）</w:t>
      </w:r>
    </w:p>
    <w:p w14:paraId="2E05D1AC">
      <w:pPr>
        <w:pStyle w:val="24"/>
        <w:keepNext w:val="0"/>
        <w:keepLines w:val="0"/>
        <w:pageBreakBefore w:val="0"/>
        <w:widowControl w:val="0"/>
        <w:kinsoku/>
        <w:wordWrap/>
        <w:overflowPunct/>
        <w:topLinePunct w:val="0"/>
        <w:autoSpaceDE/>
        <w:autoSpaceDN/>
        <w:bidi w:val="0"/>
        <w:adjustRightInd/>
        <w:spacing w:line="600" w:lineRule="exact"/>
        <w:textAlignment w:val="auto"/>
        <w:rPr>
          <w:rFonts w:hint="eastAsia"/>
        </w:rPr>
      </w:pPr>
    </w:p>
    <w:p w14:paraId="18436FA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黑体" w:hAnsi="黑体" w:eastAsia="黑体" w:cs="黑体"/>
          <w:b w:val="0"/>
          <w:bCs/>
          <w:color w:val="auto"/>
          <w:sz w:val="32"/>
          <w:szCs w:val="32"/>
          <w:lang w:eastAsia="zh-CN"/>
        </w:rPr>
      </w:pPr>
      <w:r>
        <w:rPr>
          <w:rFonts w:hint="eastAsia" w:ascii="黑体" w:hAnsi="黑体" w:eastAsia="黑体" w:cs="黑体"/>
          <w:b w:val="0"/>
          <w:bCs/>
          <w:color w:val="auto"/>
          <w:sz w:val="32"/>
          <w:szCs w:val="32"/>
          <w:lang w:eastAsia="zh-CN"/>
        </w:rPr>
        <w:t>马列·科社</w:t>
      </w:r>
    </w:p>
    <w:p w14:paraId="06A4358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1.习近平新时代中国特色社会主义思想研究</w:t>
      </w:r>
    </w:p>
    <w:p w14:paraId="38F2CED7">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2.习近平文化思想研究</w:t>
      </w:r>
    </w:p>
    <w:p w14:paraId="5C62BEA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3.习近平总书记关于党的自我革命的重要思想研究</w:t>
      </w:r>
    </w:p>
    <w:p w14:paraId="669CC344">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4.“两个结合”与马克思主义中国化时代化研究</w:t>
      </w:r>
    </w:p>
    <w:p w14:paraId="7FA3FDF9">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5.党的二十届四中全会精神和“十五五”战略规划研究</w:t>
      </w:r>
    </w:p>
    <w:p w14:paraId="03E66B0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6.习近平总书记关于新质生产力重要论述研究</w:t>
      </w:r>
    </w:p>
    <w:p w14:paraId="5AB245B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7.习近平总书记关于国家治理现代化重要论述研究</w:t>
      </w:r>
    </w:p>
    <w:p w14:paraId="0775243E">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8.习近平总书记关于河南工作重要论述研究</w:t>
      </w:r>
    </w:p>
    <w:p w14:paraId="18FDF2B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9.马克思主义经典著作在数智时代的研究阐释</w:t>
      </w:r>
    </w:p>
    <w:p w14:paraId="6BA343D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10.马克思主义社会形态理论视域下中国式现代化研究</w:t>
      </w:r>
    </w:p>
    <w:p w14:paraId="5646B23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11.铸牢中华民族共同体意识研究</w:t>
      </w:r>
    </w:p>
    <w:p w14:paraId="7E2CEA0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CESI黑体-GB2312" w:hAnsi="CESI黑体-GB2312" w:eastAsia="CESI黑体-GB2312" w:cs="CESI黑体-GB2312"/>
          <w:b w:val="0"/>
          <w:bCs/>
          <w:color w:val="auto"/>
          <w:sz w:val="32"/>
          <w:szCs w:val="32"/>
        </w:rPr>
      </w:pPr>
    </w:p>
    <w:p w14:paraId="5D2210D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华文仿宋" w:hAnsi="华文仿宋" w:eastAsia="华文仿宋" w:cs="华文仿宋"/>
          <w:b w:val="0"/>
          <w:bCs/>
          <w:color w:val="auto"/>
          <w:sz w:val="32"/>
          <w:szCs w:val="32"/>
          <w:lang w:val="en-US"/>
        </w:rPr>
      </w:pPr>
      <w:r>
        <w:rPr>
          <w:rFonts w:hint="eastAsia" w:ascii="黑体" w:hAnsi="黑体" w:eastAsia="黑体" w:cs="黑体"/>
          <w:b w:val="0"/>
          <w:bCs/>
          <w:color w:val="auto"/>
          <w:sz w:val="32"/>
          <w:szCs w:val="32"/>
          <w:lang w:eastAsia="zh-CN"/>
        </w:rPr>
        <w:t>党史·党建</w:t>
      </w:r>
    </w:p>
    <w:p w14:paraId="6682388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12.长征胜利90周年与走好新时代长征路研究</w:t>
      </w:r>
    </w:p>
    <w:p w14:paraId="717C722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13.中国式现代化历史经验研究</w:t>
      </w:r>
    </w:p>
    <w:p w14:paraId="61DCC240">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14.党的自我革命理论体系建设研究</w:t>
      </w:r>
    </w:p>
    <w:p w14:paraId="599908B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15.全面从严治党理论体系建设研究</w:t>
      </w:r>
    </w:p>
    <w:p w14:paraId="4EE7965F">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16.新时代党的群众路线的创新机制研究</w:t>
      </w:r>
    </w:p>
    <w:p w14:paraId="4C8D824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17.新经济组织、新社会组织、新就业群体党的建设有效路径研究</w:t>
      </w:r>
    </w:p>
    <w:p w14:paraId="48ACA09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18.树立和践行正确政绩观研究</w:t>
      </w:r>
    </w:p>
    <w:p w14:paraId="1225D1F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19.中国共产党人精神谱系（河南）的传承弘扬研究</w:t>
      </w:r>
    </w:p>
    <w:p w14:paraId="49EAF43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20.党建引领乡村治理现代化研究</w:t>
      </w:r>
    </w:p>
    <w:p w14:paraId="0214D0F4">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CESI黑体-GB2312" w:hAnsi="CESI黑体-GB2312" w:eastAsia="CESI黑体-GB2312" w:cs="CESI黑体-GB2312"/>
          <w:b w:val="0"/>
          <w:bCs/>
          <w:color w:val="auto"/>
          <w:sz w:val="32"/>
          <w:szCs w:val="32"/>
        </w:rPr>
      </w:pPr>
    </w:p>
    <w:p w14:paraId="754FCBAC">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eastAsia="zh-CN"/>
        </w:rPr>
        <w:t>哲学</w:t>
      </w:r>
    </w:p>
    <w:p w14:paraId="09FDDA24">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21.中国哲学自主知识体系构建研究</w:t>
      </w:r>
    </w:p>
    <w:p w14:paraId="5641323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22.马克思主义哲学基础理论与前沿问题研究</w:t>
      </w:r>
    </w:p>
    <w:p w14:paraId="799080D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23.中华优秀传统文化创造性转化、创新性发展的哲学路径研究</w:t>
      </w:r>
    </w:p>
    <w:p w14:paraId="4456075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24.新兴技术与当代哲学、伦理学前沿问题与治理机制研究</w:t>
      </w:r>
    </w:p>
    <w:p w14:paraId="465E2C1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25.数智社会新现象、新趋势的哲学研究</w:t>
      </w:r>
    </w:p>
    <w:p w14:paraId="1C5ED5C9">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CESI黑体-GB2312" w:hAnsi="CESI黑体-GB2312" w:eastAsia="CESI黑体-GB2312" w:cs="CESI黑体-GB2312"/>
          <w:b w:val="0"/>
          <w:bCs/>
          <w:color w:val="auto"/>
          <w:sz w:val="32"/>
          <w:szCs w:val="32"/>
        </w:rPr>
      </w:pPr>
    </w:p>
    <w:p w14:paraId="17750E60">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CESI黑体-GB2312" w:hAnsi="CESI黑体-GB2312" w:eastAsia="CESI黑体-GB2312" w:cs="CESI黑体-GB2312"/>
          <w:b w:val="0"/>
          <w:bCs/>
          <w:color w:val="auto"/>
          <w:sz w:val="32"/>
          <w:szCs w:val="32"/>
          <w:lang w:val="en-US"/>
        </w:rPr>
      </w:pPr>
      <w:r>
        <w:rPr>
          <w:rFonts w:hint="eastAsia" w:ascii="黑体" w:hAnsi="黑体" w:eastAsia="黑体" w:cs="黑体"/>
          <w:b w:val="0"/>
          <w:bCs/>
          <w:color w:val="auto"/>
          <w:sz w:val="32"/>
          <w:szCs w:val="32"/>
          <w:lang w:eastAsia="zh-CN"/>
        </w:rPr>
        <w:t>政治学</w:t>
      </w:r>
    </w:p>
    <w:p w14:paraId="4DB4293C">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26.中国政治学自主知识体系构建研究</w:t>
      </w:r>
    </w:p>
    <w:p w14:paraId="3696B72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27.习近平总书记关于坚持好发展好完善好中国新型政党制度的重要论述研究</w:t>
      </w:r>
    </w:p>
    <w:p w14:paraId="1B7487F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28.国家治理现代化的理论基础和实践路径研究</w:t>
      </w:r>
    </w:p>
    <w:p w14:paraId="61D1D23D">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29.数字政府建设理论与实践</w:t>
      </w:r>
      <w:r>
        <w:rPr>
          <w:rFonts w:hint="default" w:ascii="仿宋_GB2312" w:hAnsi="仿宋_GB2312" w:eastAsia="仿宋_GB2312" w:cs="仿宋_GB2312"/>
          <w:color w:val="auto"/>
          <w:kern w:val="2"/>
          <w:sz w:val="32"/>
          <w:szCs w:val="24"/>
          <w:highlight w:val="none"/>
          <w:lang w:val="en-US" w:eastAsia="zh-CN" w:bidi="ar-SA"/>
        </w:rPr>
        <w:t>研究</w:t>
      </w:r>
    </w:p>
    <w:p w14:paraId="3488C0ED">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30.新时代“枫桥经验”与基层矛盾纠纷化解研究</w:t>
      </w:r>
    </w:p>
    <w:p w14:paraId="148E15B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31.全过程人民民主在基层治理中的实践创新与优化路径研究</w:t>
      </w:r>
    </w:p>
    <w:p w14:paraId="45005AA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CESI黑体-GB2312" w:hAnsi="CESI黑体-GB2312" w:eastAsia="CESI黑体-GB2312" w:cs="CESI黑体-GB2312"/>
          <w:b w:val="0"/>
          <w:bCs/>
          <w:color w:val="auto"/>
          <w:sz w:val="32"/>
          <w:szCs w:val="32"/>
        </w:rPr>
      </w:pPr>
    </w:p>
    <w:p w14:paraId="3546F9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CESI黑体-GB2312" w:hAnsi="CESI黑体-GB2312" w:eastAsia="CESI黑体-GB2312" w:cs="CESI黑体-GB2312"/>
          <w:b w:val="0"/>
          <w:bCs/>
          <w:color w:val="auto"/>
          <w:sz w:val="32"/>
          <w:szCs w:val="32"/>
          <w:lang w:val="en-US"/>
        </w:rPr>
      </w:pPr>
      <w:r>
        <w:rPr>
          <w:rFonts w:hint="eastAsia" w:ascii="黑体" w:hAnsi="黑体" w:eastAsia="黑体" w:cs="黑体"/>
          <w:sz w:val="32"/>
          <w:szCs w:val="40"/>
          <w:lang w:val="en" w:eastAsia="zh-CN"/>
        </w:rPr>
        <w:t>经济学</w:t>
      </w:r>
    </w:p>
    <w:p w14:paraId="221A407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32.</w:t>
      </w:r>
      <w:r>
        <w:rPr>
          <w:rFonts w:hint="eastAsia" w:ascii="仿宋_GB2312" w:hAnsi="仿宋_GB2312" w:eastAsia="仿宋_GB2312" w:cs="仿宋_GB2312"/>
          <w:color w:val="auto"/>
          <w:kern w:val="2"/>
          <w:sz w:val="32"/>
          <w:szCs w:val="24"/>
          <w:highlight w:val="none"/>
          <w:lang w:val="en" w:eastAsia="zh-CN" w:bidi="ar-SA"/>
        </w:rPr>
        <w:t>中国经济学自主知识体系构建研究</w:t>
      </w:r>
    </w:p>
    <w:p w14:paraId="4E8C1D9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33.“十五五”时期中国式现代化的阶段性特征和重点任务研究</w:t>
      </w:r>
    </w:p>
    <w:p w14:paraId="563C0DD4">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34.推进融入和服务全国统一大市场研究</w:t>
      </w:r>
    </w:p>
    <w:p w14:paraId="4AA6717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35.“两高四着力”重大要求研究（可分领域研究）</w:t>
      </w:r>
    </w:p>
    <w:p w14:paraId="1F7457EC">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36.河南加快建设农业强省研究</w:t>
      </w:r>
    </w:p>
    <w:p w14:paraId="53B1527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37.河南加快建设制造强省研究</w:t>
      </w:r>
    </w:p>
    <w:p w14:paraId="16A8897A">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38.河南加快建设科教强省研究</w:t>
      </w:r>
    </w:p>
    <w:p w14:paraId="15B4128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39.河南加快建设数智强省研究</w:t>
      </w:r>
    </w:p>
    <w:p w14:paraId="29332E9C">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40.河南加快建设交通强省研究</w:t>
      </w:r>
    </w:p>
    <w:p w14:paraId="44CD61D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41.河南加快建设文旅强省研究</w:t>
      </w:r>
    </w:p>
    <w:p w14:paraId="16C45710">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42.河南营造“六个环境”研究（可分领域研究）</w:t>
      </w:r>
    </w:p>
    <w:p w14:paraId="53FE949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43.河南突出抓好15项重点工作任务研究（可分领域研究）</w:t>
      </w:r>
    </w:p>
    <w:p w14:paraId="2708785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44.</w:t>
      </w:r>
      <w:r>
        <w:rPr>
          <w:rFonts w:hint="eastAsia" w:ascii="仿宋_GB2312" w:hAnsi="仿宋_GB2312" w:eastAsia="仿宋_GB2312" w:cs="仿宋_GB2312"/>
          <w:color w:val="auto"/>
          <w:kern w:val="2"/>
          <w:sz w:val="32"/>
          <w:szCs w:val="24"/>
          <w:highlight w:val="none"/>
          <w:lang w:val="en" w:eastAsia="zh-CN" w:bidi="ar-SA"/>
        </w:rPr>
        <w:t>以改革开放赋能河南高质量发展动力活力提升研究</w:t>
      </w:r>
    </w:p>
    <w:p w14:paraId="7368143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45.</w:t>
      </w:r>
      <w:r>
        <w:rPr>
          <w:rFonts w:hint="eastAsia" w:ascii="仿宋_GB2312" w:hAnsi="仿宋_GB2312" w:eastAsia="仿宋_GB2312" w:cs="仿宋_GB2312"/>
          <w:color w:val="auto"/>
          <w:kern w:val="2"/>
          <w:sz w:val="32"/>
          <w:szCs w:val="24"/>
          <w:highlight w:val="none"/>
          <w:lang w:val="en" w:eastAsia="zh-CN" w:bidi="ar-SA"/>
        </w:rPr>
        <w:t>高水平社会主义市场经济体制研究</w:t>
      </w:r>
    </w:p>
    <w:p w14:paraId="6C72C07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46.</w:t>
      </w:r>
      <w:r>
        <w:rPr>
          <w:rFonts w:hint="eastAsia" w:ascii="仿宋_GB2312" w:hAnsi="仿宋_GB2312" w:eastAsia="仿宋_GB2312" w:cs="仿宋_GB2312"/>
          <w:color w:val="auto"/>
          <w:kern w:val="2"/>
          <w:sz w:val="32"/>
          <w:szCs w:val="24"/>
          <w:highlight w:val="none"/>
          <w:lang w:val="en" w:eastAsia="zh-CN" w:bidi="ar-SA"/>
        </w:rPr>
        <w:t>现代市场体系和政府职能转变研究</w:t>
      </w:r>
    </w:p>
    <w:p w14:paraId="5975BBFE">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47.</w:t>
      </w:r>
      <w:r>
        <w:rPr>
          <w:rFonts w:hint="eastAsia" w:ascii="仿宋_GB2312" w:hAnsi="仿宋_GB2312" w:eastAsia="仿宋_GB2312" w:cs="仿宋_GB2312"/>
          <w:color w:val="auto"/>
          <w:kern w:val="2"/>
          <w:sz w:val="32"/>
          <w:szCs w:val="24"/>
          <w:highlight w:val="none"/>
          <w:lang w:val="en" w:eastAsia="zh-CN" w:bidi="ar-SA"/>
        </w:rPr>
        <w:t>数据要素市场的培育和治理研究</w:t>
      </w:r>
    </w:p>
    <w:p w14:paraId="6C0253BC">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48.</w:t>
      </w:r>
      <w:r>
        <w:rPr>
          <w:rFonts w:hint="eastAsia" w:ascii="仿宋_GB2312" w:hAnsi="仿宋_GB2312" w:eastAsia="仿宋_GB2312" w:cs="仿宋_GB2312"/>
          <w:color w:val="auto"/>
          <w:kern w:val="2"/>
          <w:sz w:val="32"/>
          <w:szCs w:val="24"/>
          <w:highlight w:val="none"/>
          <w:lang w:val="en" w:eastAsia="zh-CN" w:bidi="ar-SA"/>
        </w:rPr>
        <w:t>民营经济高质量发展和营商环境优化研究</w:t>
      </w:r>
    </w:p>
    <w:p w14:paraId="66EF4A1A">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49.</w:t>
      </w:r>
      <w:r>
        <w:rPr>
          <w:rFonts w:hint="eastAsia" w:ascii="仿宋_GB2312" w:hAnsi="仿宋_GB2312" w:eastAsia="仿宋_GB2312" w:cs="仿宋_GB2312"/>
          <w:color w:val="auto"/>
          <w:kern w:val="2"/>
          <w:sz w:val="32"/>
          <w:szCs w:val="24"/>
          <w:highlight w:val="none"/>
          <w:lang w:val="en" w:eastAsia="zh-CN" w:bidi="ar-SA"/>
        </w:rPr>
        <w:t>构建现代化产业体系研究</w:t>
      </w:r>
    </w:p>
    <w:p w14:paraId="51B0434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50.</w:t>
      </w:r>
      <w:r>
        <w:rPr>
          <w:rFonts w:hint="eastAsia" w:ascii="仿宋_GB2312" w:hAnsi="仿宋_GB2312" w:eastAsia="仿宋_GB2312" w:cs="仿宋_GB2312"/>
          <w:color w:val="auto"/>
          <w:kern w:val="2"/>
          <w:sz w:val="32"/>
          <w:szCs w:val="24"/>
          <w:highlight w:val="none"/>
          <w:lang w:val="en" w:eastAsia="zh-CN" w:bidi="ar-SA"/>
        </w:rPr>
        <w:t>科技创新和产业创新深度融合研究</w:t>
      </w:r>
    </w:p>
    <w:p w14:paraId="239301F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51.</w:t>
      </w:r>
      <w:r>
        <w:rPr>
          <w:rFonts w:hint="eastAsia" w:ascii="仿宋_GB2312" w:hAnsi="仿宋_GB2312" w:eastAsia="仿宋_GB2312" w:cs="仿宋_GB2312"/>
          <w:color w:val="auto"/>
          <w:kern w:val="2"/>
          <w:sz w:val="32"/>
          <w:szCs w:val="24"/>
          <w:highlight w:val="none"/>
          <w:lang w:val="en" w:eastAsia="zh-CN" w:bidi="ar-SA"/>
        </w:rPr>
        <w:t>制造业转型升级的发展研究</w:t>
      </w:r>
    </w:p>
    <w:p w14:paraId="5808029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52.</w:t>
      </w:r>
      <w:r>
        <w:rPr>
          <w:rFonts w:hint="eastAsia" w:ascii="仿宋_GB2312" w:hAnsi="仿宋_GB2312" w:eastAsia="仿宋_GB2312" w:cs="仿宋_GB2312"/>
          <w:color w:val="auto"/>
          <w:kern w:val="2"/>
          <w:sz w:val="32"/>
          <w:szCs w:val="24"/>
          <w:highlight w:val="none"/>
          <w:lang w:val="en" w:eastAsia="zh-CN" w:bidi="ar-SA"/>
        </w:rPr>
        <w:t>战略性新兴产业和未来产业的培育机制研究</w:t>
      </w:r>
    </w:p>
    <w:p w14:paraId="29FB361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53.</w:t>
      </w:r>
      <w:r>
        <w:rPr>
          <w:rFonts w:hint="eastAsia" w:ascii="仿宋_GB2312" w:hAnsi="仿宋_GB2312" w:eastAsia="仿宋_GB2312" w:cs="仿宋_GB2312"/>
          <w:color w:val="auto"/>
          <w:kern w:val="2"/>
          <w:sz w:val="32"/>
          <w:szCs w:val="24"/>
          <w:highlight w:val="none"/>
          <w:lang w:val="en" w:eastAsia="zh-CN" w:bidi="ar-SA"/>
        </w:rPr>
        <w:t>绿色低碳产业和可持续发展研究</w:t>
      </w:r>
    </w:p>
    <w:p w14:paraId="5996CC4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54.</w:t>
      </w:r>
      <w:r>
        <w:rPr>
          <w:rFonts w:hint="eastAsia" w:ascii="仿宋_GB2312" w:hAnsi="仿宋_GB2312" w:eastAsia="仿宋_GB2312" w:cs="仿宋_GB2312"/>
          <w:color w:val="auto"/>
          <w:kern w:val="2"/>
          <w:sz w:val="32"/>
          <w:szCs w:val="24"/>
          <w:highlight w:val="none"/>
          <w:lang w:val="en" w:eastAsia="zh-CN" w:bidi="ar-SA"/>
        </w:rPr>
        <w:t>数字经济和实体经济的深度融合研究</w:t>
      </w:r>
    </w:p>
    <w:p w14:paraId="6A710DD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55.</w:t>
      </w:r>
      <w:r>
        <w:rPr>
          <w:rFonts w:hint="eastAsia" w:ascii="仿宋_GB2312" w:hAnsi="仿宋_GB2312" w:eastAsia="仿宋_GB2312" w:cs="仿宋_GB2312"/>
          <w:color w:val="auto"/>
          <w:kern w:val="2"/>
          <w:sz w:val="32"/>
          <w:szCs w:val="24"/>
          <w:highlight w:val="none"/>
          <w:lang w:val="en" w:eastAsia="zh-CN" w:bidi="ar-SA"/>
        </w:rPr>
        <w:t>平台经济的规范发展和治理研究</w:t>
      </w:r>
    </w:p>
    <w:p w14:paraId="4AD6832F">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56.</w:t>
      </w:r>
      <w:r>
        <w:rPr>
          <w:rFonts w:hint="eastAsia" w:ascii="仿宋_GB2312" w:hAnsi="仿宋_GB2312" w:eastAsia="仿宋_GB2312" w:cs="仿宋_GB2312"/>
          <w:color w:val="auto"/>
          <w:kern w:val="2"/>
          <w:sz w:val="32"/>
          <w:szCs w:val="24"/>
          <w:highlight w:val="none"/>
          <w:lang w:val="en" w:eastAsia="zh-CN" w:bidi="ar-SA"/>
        </w:rPr>
        <w:t>企业数字化转型路径研究</w:t>
      </w:r>
    </w:p>
    <w:p w14:paraId="07C9B65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57.</w:t>
      </w:r>
      <w:r>
        <w:rPr>
          <w:rFonts w:hint="eastAsia" w:ascii="仿宋_GB2312" w:hAnsi="仿宋_GB2312" w:eastAsia="仿宋_GB2312" w:cs="仿宋_GB2312"/>
          <w:color w:val="auto"/>
          <w:kern w:val="2"/>
          <w:sz w:val="32"/>
          <w:szCs w:val="24"/>
          <w:highlight w:val="none"/>
          <w:lang w:val="en" w:eastAsia="zh-CN" w:bidi="ar-SA"/>
        </w:rPr>
        <w:t>深化金融改革和服务实体经济研究</w:t>
      </w:r>
    </w:p>
    <w:p w14:paraId="74B06CC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58.</w:t>
      </w:r>
      <w:r>
        <w:rPr>
          <w:rFonts w:hint="eastAsia" w:ascii="仿宋_GB2312" w:hAnsi="仿宋_GB2312" w:eastAsia="仿宋_GB2312" w:cs="仿宋_GB2312"/>
          <w:color w:val="auto"/>
          <w:kern w:val="2"/>
          <w:sz w:val="32"/>
          <w:szCs w:val="24"/>
          <w:highlight w:val="none"/>
          <w:lang w:val="en" w:eastAsia="zh-CN" w:bidi="ar-SA"/>
        </w:rPr>
        <w:t>消费结构升级和扩大内需的长效机制研究</w:t>
      </w:r>
    </w:p>
    <w:p w14:paraId="59E9BE4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59.</w:t>
      </w:r>
      <w:r>
        <w:rPr>
          <w:rFonts w:hint="eastAsia" w:ascii="仿宋_GB2312" w:hAnsi="仿宋_GB2312" w:eastAsia="仿宋_GB2312" w:cs="仿宋_GB2312"/>
          <w:color w:val="auto"/>
          <w:kern w:val="2"/>
          <w:sz w:val="32"/>
          <w:szCs w:val="24"/>
          <w:highlight w:val="none"/>
          <w:lang w:val="en" w:eastAsia="zh-CN" w:bidi="ar-SA"/>
        </w:rPr>
        <w:t>扩大高水平对外开放的理论和实践研究</w:t>
      </w:r>
    </w:p>
    <w:p w14:paraId="1A51181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60.</w:t>
      </w:r>
      <w:r>
        <w:rPr>
          <w:rFonts w:hint="eastAsia" w:ascii="仿宋_GB2312" w:hAnsi="仿宋_GB2312" w:eastAsia="仿宋_GB2312" w:cs="仿宋_GB2312"/>
          <w:color w:val="auto"/>
          <w:kern w:val="2"/>
          <w:sz w:val="32"/>
          <w:szCs w:val="24"/>
          <w:highlight w:val="none"/>
          <w:lang w:val="en" w:eastAsia="zh-CN" w:bidi="ar-SA"/>
        </w:rPr>
        <w:t>自贸试验区发展建设研究</w:t>
      </w:r>
    </w:p>
    <w:p w14:paraId="2156556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51.</w:t>
      </w:r>
      <w:r>
        <w:rPr>
          <w:rFonts w:hint="eastAsia" w:ascii="仿宋_GB2312" w:hAnsi="仿宋_GB2312" w:eastAsia="仿宋_GB2312" w:cs="仿宋_GB2312"/>
          <w:color w:val="auto"/>
          <w:kern w:val="2"/>
          <w:sz w:val="32"/>
          <w:szCs w:val="24"/>
          <w:highlight w:val="none"/>
          <w:lang w:val="en" w:eastAsia="zh-CN" w:bidi="ar-SA"/>
        </w:rPr>
        <w:t>强化综合交通枢纽优势与内陆开放高地建设研究</w:t>
      </w:r>
    </w:p>
    <w:p w14:paraId="0F9E176F">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62.</w:t>
      </w:r>
      <w:r>
        <w:rPr>
          <w:rFonts w:hint="eastAsia" w:ascii="仿宋_GB2312" w:hAnsi="仿宋_GB2312" w:eastAsia="仿宋_GB2312" w:cs="仿宋_GB2312"/>
          <w:color w:val="auto"/>
          <w:kern w:val="2"/>
          <w:sz w:val="32"/>
          <w:szCs w:val="24"/>
          <w:highlight w:val="none"/>
          <w:lang w:val="en" w:eastAsia="zh-CN" w:bidi="ar-SA"/>
        </w:rPr>
        <w:t>中原城市群一体化和郑州都市圈同城化研究</w:t>
      </w:r>
    </w:p>
    <w:p w14:paraId="34F09139">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63.</w:t>
      </w:r>
      <w:r>
        <w:rPr>
          <w:rFonts w:hint="eastAsia" w:ascii="仿宋_GB2312" w:hAnsi="仿宋_GB2312" w:eastAsia="仿宋_GB2312" w:cs="仿宋_GB2312"/>
          <w:color w:val="auto"/>
          <w:kern w:val="2"/>
          <w:sz w:val="32"/>
          <w:szCs w:val="24"/>
          <w:highlight w:val="none"/>
          <w:lang w:val="en" w:eastAsia="zh-CN" w:bidi="ar-SA"/>
        </w:rPr>
        <w:t>“三农”问题和农业农村现代化研究</w:t>
      </w:r>
    </w:p>
    <w:p w14:paraId="409599F4">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64.</w:t>
      </w:r>
      <w:r>
        <w:rPr>
          <w:rFonts w:hint="eastAsia" w:ascii="仿宋_GB2312" w:hAnsi="仿宋_GB2312" w:eastAsia="仿宋_GB2312" w:cs="仿宋_GB2312"/>
          <w:color w:val="auto"/>
          <w:kern w:val="2"/>
          <w:sz w:val="32"/>
          <w:szCs w:val="24"/>
          <w:highlight w:val="none"/>
          <w:lang w:val="en" w:eastAsia="zh-CN" w:bidi="ar-SA"/>
        </w:rPr>
        <w:t>粮食安全和耕地保护的长效机制研究</w:t>
      </w:r>
    </w:p>
    <w:p w14:paraId="2C31D0DD">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65.</w:t>
      </w:r>
      <w:r>
        <w:rPr>
          <w:rFonts w:hint="eastAsia" w:ascii="仿宋_GB2312" w:hAnsi="仿宋_GB2312" w:eastAsia="仿宋_GB2312" w:cs="仿宋_GB2312"/>
          <w:color w:val="auto"/>
          <w:kern w:val="2"/>
          <w:sz w:val="32"/>
          <w:szCs w:val="24"/>
          <w:highlight w:val="none"/>
          <w:lang w:val="en" w:eastAsia="zh-CN" w:bidi="ar-SA"/>
        </w:rPr>
        <w:t>农村人居环境整治与推进宜居宜业和美乡村建设研究</w:t>
      </w:r>
    </w:p>
    <w:p w14:paraId="4B9E041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66.</w:t>
      </w:r>
      <w:r>
        <w:rPr>
          <w:rFonts w:hint="eastAsia" w:ascii="仿宋_GB2312" w:hAnsi="仿宋_GB2312" w:eastAsia="仿宋_GB2312" w:cs="仿宋_GB2312"/>
          <w:color w:val="auto"/>
          <w:kern w:val="2"/>
          <w:sz w:val="32"/>
          <w:szCs w:val="24"/>
          <w:highlight w:val="none"/>
          <w:lang w:val="en" w:eastAsia="zh-CN" w:bidi="ar-SA"/>
        </w:rPr>
        <w:t>人口结构变化对经济增长的影响研究</w:t>
      </w:r>
    </w:p>
    <w:p w14:paraId="7CFD9B4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黑体" w:hAnsi="黑体" w:eastAsia="黑体" w:cs="黑体"/>
          <w:b w:val="0"/>
          <w:bCs/>
          <w:color w:val="auto"/>
          <w:sz w:val="32"/>
          <w:szCs w:val="32"/>
          <w:lang w:eastAsia="zh-CN"/>
        </w:rPr>
      </w:pPr>
    </w:p>
    <w:p w14:paraId="33F703A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黑体" w:hAnsi="黑体" w:eastAsia="黑体" w:cs="黑体"/>
          <w:b w:val="0"/>
          <w:bCs/>
          <w:color w:val="auto"/>
          <w:sz w:val="32"/>
          <w:szCs w:val="32"/>
          <w:lang w:val="en-US" w:eastAsia="zh-CN"/>
        </w:rPr>
      </w:pPr>
      <w:r>
        <w:rPr>
          <w:rFonts w:hint="eastAsia" w:ascii="黑体" w:hAnsi="黑体" w:eastAsia="黑体" w:cs="黑体"/>
          <w:b w:val="0"/>
          <w:bCs/>
          <w:color w:val="auto"/>
          <w:sz w:val="32"/>
          <w:szCs w:val="32"/>
          <w:lang w:eastAsia="zh-CN"/>
        </w:rPr>
        <w:t>法学</w:t>
      </w:r>
    </w:p>
    <w:p w14:paraId="4422F33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67.中国法学自主知识体系构建研究</w:t>
      </w:r>
    </w:p>
    <w:p w14:paraId="436C67BF">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68.法治政府建设提质增效路径研究</w:t>
      </w:r>
    </w:p>
    <w:p w14:paraId="2E06ED47">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69.营造公平正义的法治环境研究</w:t>
      </w:r>
    </w:p>
    <w:p w14:paraId="4341117D">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70.以法治助力全国统一大市场建设研究</w:t>
      </w:r>
    </w:p>
    <w:p w14:paraId="093A5D20">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71.黄河流域生态保护和高质量发展的法治保障研究</w:t>
      </w:r>
    </w:p>
    <w:p w14:paraId="531A999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72.生成式人工智能的法律风险与治理研究</w:t>
      </w:r>
    </w:p>
    <w:p w14:paraId="33FDA544">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73.数智时代新型犯罪治理研究</w:t>
      </w:r>
    </w:p>
    <w:p w14:paraId="4462E5AA">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74.基层治理法治化的河南模式与实践研究</w:t>
      </w:r>
    </w:p>
    <w:p w14:paraId="735DCFA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75.纪检监察学理论与实践研究</w:t>
      </w:r>
    </w:p>
    <w:p w14:paraId="3640F6B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CESI黑体-GB2312" w:hAnsi="CESI黑体-GB2312" w:eastAsia="CESI黑体-GB2312" w:cs="CESI黑体-GB2312"/>
          <w:b w:val="0"/>
          <w:bCs/>
          <w:color w:val="auto"/>
          <w:sz w:val="32"/>
          <w:szCs w:val="32"/>
          <w:lang w:eastAsia="zh-CN"/>
        </w:rPr>
      </w:pPr>
    </w:p>
    <w:p w14:paraId="75F03B3E">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黑体" w:hAnsi="黑体" w:eastAsia="黑体" w:cs="黑体"/>
          <w:b w:val="0"/>
          <w:bCs/>
          <w:color w:val="auto"/>
          <w:sz w:val="32"/>
          <w:szCs w:val="32"/>
          <w:lang w:val="en-US"/>
        </w:rPr>
      </w:pPr>
      <w:r>
        <w:rPr>
          <w:rFonts w:hint="eastAsia" w:ascii="黑体" w:hAnsi="黑体" w:eastAsia="黑体" w:cs="黑体"/>
          <w:b w:val="0"/>
          <w:bCs/>
          <w:color w:val="auto"/>
          <w:sz w:val="32"/>
          <w:szCs w:val="32"/>
          <w:lang w:eastAsia="zh-CN"/>
        </w:rPr>
        <w:t>社会学</w:t>
      </w:r>
      <w:r>
        <w:rPr>
          <w:rFonts w:hint="eastAsia" w:ascii="黑体" w:hAnsi="黑体" w:eastAsia="黑体" w:cs="黑体"/>
          <w:b w:val="0"/>
          <w:bCs/>
          <w:color w:val="auto"/>
          <w:sz w:val="32"/>
          <w:szCs w:val="32"/>
        </w:rPr>
        <w:t>·管理学</w:t>
      </w:r>
    </w:p>
    <w:p w14:paraId="01519E0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76.中国社会学自主知识体系构建研究</w:t>
      </w:r>
    </w:p>
    <w:p w14:paraId="139BF167">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77.中国管理学自主知识体系构建研究</w:t>
      </w:r>
    </w:p>
    <w:p w14:paraId="785A873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78.反腐败与优化营商环境联动机制研究</w:t>
      </w:r>
    </w:p>
    <w:p w14:paraId="5FD93E7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79.基层高效能治理体系、模式与路径研究</w:t>
      </w:r>
    </w:p>
    <w:p w14:paraId="6A7011DA">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80.“党建+网格+大数据”基层高效能治理模式研究</w:t>
      </w:r>
    </w:p>
    <w:p w14:paraId="1B8CC5B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81.数智时代的职业变迁与就业新形态研究</w:t>
      </w:r>
    </w:p>
    <w:p w14:paraId="5867357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82.人工智能时代组织变革和管理创新研究</w:t>
      </w:r>
    </w:p>
    <w:p w14:paraId="42D79F4F">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83.人口高质量发展与全生命周期服务体系建设研究</w:t>
      </w:r>
    </w:p>
    <w:p w14:paraId="662A0DC9">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84.弱势群体社会保护研究</w:t>
      </w:r>
    </w:p>
    <w:p w14:paraId="37AFACEF">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85.河南防范化解重点领域风险面临的挑战与对策研究</w:t>
      </w:r>
    </w:p>
    <w:p w14:paraId="64CD80DE">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86.河南构建生育友好型社会研究</w:t>
      </w:r>
    </w:p>
    <w:p w14:paraId="2EA51BB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87.河南省公民社会科学素质状况调研分析</w:t>
      </w:r>
    </w:p>
    <w:p w14:paraId="378E39CE">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88.河南省志愿服务理论和实践问题研究</w:t>
      </w:r>
    </w:p>
    <w:p w14:paraId="671436C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89.基于文化根脉与时代趋势的河南企业家精神出圈研究</w:t>
      </w:r>
    </w:p>
    <w:p w14:paraId="098CAC47">
      <w:pPr>
        <w:pStyle w:val="6"/>
        <w:rPr>
          <w:rFonts w:hint="eastAsia"/>
        </w:rPr>
      </w:pPr>
    </w:p>
    <w:p w14:paraId="4A2E53B0">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黑体" w:hAnsi="黑体" w:eastAsia="黑体" w:cs="黑体"/>
          <w:b w:val="0"/>
          <w:bCs/>
          <w:color w:val="auto"/>
          <w:sz w:val="32"/>
          <w:szCs w:val="32"/>
          <w:lang w:val="en-US"/>
        </w:rPr>
      </w:pPr>
      <w:r>
        <w:rPr>
          <w:rFonts w:hint="eastAsia" w:ascii="黑体" w:hAnsi="黑体" w:eastAsia="黑体" w:cs="黑体"/>
          <w:b w:val="0"/>
          <w:bCs/>
          <w:color w:val="auto"/>
          <w:sz w:val="32"/>
          <w:szCs w:val="32"/>
        </w:rPr>
        <w:t>教育学</w:t>
      </w:r>
    </w:p>
    <w:p w14:paraId="092B85D0">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90.</w:t>
      </w:r>
      <w:r>
        <w:rPr>
          <w:rFonts w:hint="eastAsia" w:ascii="仿宋_GB2312" w:hAnsi="仿宋_GB2312" w:eastAsia="仿宋_GB2312" w:cs="仿宋_GB2312"/>
          <w:color w:val="auto"/>
          <w:kern w:val="2"/>
          <w:sz w:val="32"/>
          <w:szCs w:val="24"/>
          <w:highlight w:val="none"/>
          <w:lang w:val="en" w:eastAsia="zh-CN" w:bidi="ar-SA"/>
        </w:rPr>
        <w:t>中国教育学自主知识体系构建研究</w:t>
      </w:r>
    </w:p>
    <w:p w14:paraId="21C43A7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91.</w:t>
      </w:r>
      <w:r>
        <w:rPr>
          <w:rFonts w:hint="eastAsia" w:ascii="仿宋_GB2312" w:hAnsi="仿宋_GB2312" w:eastAsia="仿宋_GB2312" w:cs="仿宋_GB2312"/>
          <w:color w:val="auto"/>
          <w:kern w:val="2"/>
          <w:sz w:val="32"/>
          <w:szCs w:val="24"/>
          <w:highlight w:val="none"/>
          <w:lang w:val="en" w:eastAsia="zh-CN" w:bidi="ar-SA"/>
        </w:rPr>
        <w:t>推进教育科技人才一体发展研究</w:t>
      </w:r>
    </w:p>
    <w:p w14:paraId="04B49B0F">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92.“十五五”时期</w:t>
      </w:r>
      <w:r>
        <w:rPr>
          <w:rFonts w:hint="eastAsia" w:ascii="仿宋_GB2312" w:hAnsi="仿宋_GB2312" w:eastAsia="仿宋_GB2312" w:cs="仿宋_GB2312"/>
          <w:color w:val="auto"/>
          <w:kern w:val="2"/>
          <w:sz w:val="32"/>
          <w:szCs w:val="24"/>
          <w:highlight w:val="none"/>
          <w:lang w:val="en" w:eastAsia="zh-CN" w:bidi="ar-SA"/>
        </w:rPr>
        <w:t>教育强国建设任务研究</w:t>
      </w:r>
    </w:p>
    <w:p w14:paraId="4105933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93.人口变动趋势对教育资源配置的影响研究</w:t>
      </w:r>
    </w:p>
    <w:p w14:paraId="57C3419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94.义务教育优质均衡发展机制研究</w:t>
      </w:r>
    </w:p>
    <w:p w14:paraId="393FFBF7">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95.</w:t>
      </w:r>
      <w:r>
        <w:rPr>
          <w:rFonts w:hint="eastAsia" w:ascii="仿宋_GB2312" w:hAnsi="仿宋_GB2312" w:eastAsia="仿宋_GB2312" w:cs="仿宋_GB2312"/>
          <w:color w:val="auto"/>
          <w:kern w:val="2"/>
          <w:sz w:val="32"/>
          <w:szCs w:val="24"/>
          <w:highlight w:val="none"/>
          <w:lang w:val="en" w:eastAsia="zh-CN" w:bidi="ar-SA"/>
        </w:rPr>
        <w:t>县域高中多样化发展路径研究</w:t>
      </w:r>
    </w:p>
    <w:p w14:paraId="4B202DAC">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96.职业教育产教融合的运行机制研究</w:t>
      </w:r>
    </w:p>
    <w:p w14:paraId="55656F5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97.高素质教师队伍建设研究</w:t>
      </w:r>
    </w:p>
    <w:p w14:paraId="3B9A130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98.人工智能赋能教育变革的实践研究</w:t>
      </w:r>
    </w:p>
    <w:p w14:paraId="2A7D2367">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99.</w:t>
      </w:r>
      <w:r>
        <w:rPr>
          <w:rFonts w:hint="eastAsia" w:ascii="仿宋_GB2312" w:hAnsi="仿宋_GB2312" w:eastAsia="仿宋_GB2312" w:cs="仿宋_GB2312"/>
          <w:color w:val="auto"/>
          <w:kern w:val="2"/>
          <w:sz w:val="32"/>
          <w:szCs w:val="24"/>
          <w:highlight w:val="none"/>
          <w:lang w:val="en" w:eastAsia="zh-CN" w:bidi="ar-SA"/>
        </w:rPr>
        <w:t>大中小学课程思政一体化问题研究</w:t>
      </w:r>
    </w:p>
    <w:p w14:paraId="5025051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100.新时代中小学生心理健康服务体系建设研究</w:t>
      </w:r>
    </w:p>
    <w:p w14:paraId="0F6AA351">
      <w:pPr>
        <w:pStyle w:val="5"/>
        <w:keepNext w:val="0"/>
        <w:keepLines w:val="0"/>
        <w:pageBreakBefore w:val="0"/>
        <w:widowControl w:val="0"/>
        <w:kinsoku/>
        <w:wordWrap/>
        <w:overflowPunct/>
        <w:topLinePunct w:val="0"/>
        <w:autoSpaceDE/>
        <w:autoSpaceDN/>
        <w:bidi w:val="0"/>
        <w:adjustRightInd/>
        <w:snapToGrid/>
        <w:spacing w:after="0" w:afterLines="0" w:line="600" w:lineRule="exact"/>
        <w:textAlignment w:val="auto"/>
        <w:rPr>
          <w:rFonts w:hint="eastAsia" w:ascii="黑体" w:hAnsi="黑体" w:eastAsia="黑体" w:cs="黑体"/>
          <w:b w:val="0"/>
          <w:bCs/>
          <w:color w:val="auto"/>
          <w:sz w:val="32"/>
          <w:szCs w:val="32"/>
        </w:rPr>
      </w:pPr>
    </w:p>
    <w:p w14:paraId="07C7801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文学·语言学</w:t>
      </w:r>
    </w:p>
    <w:p w14:paraId="68F5A8F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101.中国文学自主知识体系构建研究</w:t>
      </w:r>
    </w:p>
    <w:p w14:paraId="68B0DF6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102.中华文明突出特性的文学表达、文脉传承研究</w:t>
      </w:r>
    </w:p>
    <w:p w14:paraId="668E314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103.当代文学创作现状和影响力提升研究</w:t>
      </w:r>
    </w:p>
    <w:p w14:paraId="20ED3C5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104.“Z世代”的网络写作与青年文化研究</w:t>
      </w:r>
    </w:p>
    <w:p w14:paraId="4E240AE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105.人工智能对文学研究范式转变的影响研究</w:t>
      </w:r>
    </w:p>
    <w:p w14:paraId="75F4484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106.中国语言学自主知识体系构建研究</w:t>
      </w:r>
    </w:p>
    <w:p w14:paraId="6F73A465">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107.人工智能时代语言学的挑战与机遇研究</w:t>
      </w:r>
    </w:p>
    <w:p w14:paraId="4FC0195F">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108.河南方言文化资源保护现状与活化利用路径研究</w:t>
      </w:r>
    </w:p>
    <w:p w14:paraId="5AD56157">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CESI黑体-GB2312" w:hAnsi="CESI黑体-GB2312" w:eastAsia="CESI黑体-GB2312" w:cs="CESI黑体-GB2312"/>
          <w:b w:val="0"/>
          <w:bCs/>
          <w:color w:val="auto"/>
          <w:sz w:val="32"/>
          <w:szCs w:val="32"/>
        </w:rPr>
      </w:pPr>
    </w:p>
    <w:p w14:paraId="5D7F31DC">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CESI黑体-GB2312" w:hAnsi="CESI黑体-GB2312" w:eastAsia="CESI黑体-GB2312" w:cs="CESI黑体-GB2312"/>
          <w:b w:val="0"/>
          <w:bCs/>
          <w:color w:val="auto"/>
          <w:sz w:val="32"/>
          <w:szCs w:val="32"/>
          <w:lang w:val="en-US"/>
        </w:rPr>
      </w:pPr>
      <w:r>
        <w:rPr>
          <w:rFonts w:hint="eastAsia" w:ascii="黑体" w:hAnsi="黑体" w:eastAsia="黑体" w:cs="黑体"/>
          <w:b w:val="0"/>
          <w:bCs/>
          <w:color w:val="auto"/>
          <w:sz w:val="32"/>
          <w:szCs w:val="32"/>
        </w:rPr>
        <w:t>新闻传播学·图书馆学</w:t>
      </w:r>
    </w:p>
    <w:p w14:paraId="30F8E143">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109.中国新闻传播学自主知识体系构建研究</w:t>
      </w:r>
    </w:p>
    <w:p w14:paraId="53F56A8B">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110.中国话语和中国叙事体系构建研究</w:t>
      </w:r>
    </w:p>
    <w:p w14:paraId="567A337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111.人工智能时代新闻传播的系统性变革研究</w:t>
      </w:r>
    </w:p>
    <w:p w14:paraId="3E0E04C2">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112.生成式人工智能对舆论生态的影响研究</w:t>
      </w:r>
    </w:p>
    <w:p w14:paraId="707AB99E">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113.全媒体传播体系的效能提升研究</w:t>
      </w:r>
    </w:p>
    <w:p w14:paraId="212A05DC">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114.中原文化外译和传播策略研究</w:t>
      </w:r>
    </w:p>
    <w:p w14:paraId="1BF08E01">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115.图书馆“十五五”规划与全周期管理研究</w:t>
      </w:r>
    </w:p>
    <w:p w14:paraId="226FCA38">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116.文旅融合背景下新型阅读空间的建设研究</w:t>
      </w:r>
    </w:p>
    <w:p w14:paraId="3F3796E7">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117.“人工智能+”背景下高质量数据采集研究</w:t>
      </w:r>
    </w:p>
    <w:p w14:paraId="4324E3F6">
      <w:pPr>
        <w:pStyle w:val="5"/>
        <w:keepNext w:val="0"/>
        <w:keepLines w:val="0"/>
        <w:pageBreakBefore w:val="0"/>
        <w:widowControl w:val="0"/>
        <w:kinsoku/>
        <w:wordWrap/>
        <w:overflowPunct/>
        <w:topLinePunct w:val="0"/>
        <w:autoSpaceDE/>
        <w:autoSpaceDN/>
        <w:bidi w:val="0"/>
        <w:adjustRightInd/>
        <w:snapToGrid/>
        <w:spacing w:after="0" w:afterLines="0" w:line="60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118.档案数据服务高质量发展能力研究</w:t>
      </w:r>
    </w:p>
    <w:p w14:paraId="22C75C9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hAnsi="方正黑体_GBK" w:eastAsia="方正黑体_GBK" w:cs="方正黑体_GBK"/>
          <w:sz w:val="32"/>
          <w:szCs w:val="40"/>
          <w:lang w:val="en" w:eastAsia="zh-CN"/>
        </w:rPr>
      </w:pPr>
    </w:p>
    <w:p w14:paraId="093AD1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40"/>
          <w:lang w:val="en-US" w:eastAsia="zh-CN"/>
        </w:rPr>
      </w:pPr>
      <w:r>
        <w:rPr>
          <w:rFonts w:hint="eastAsia" w:ascii="黑体" w:hAnsi="黑体" w:eastAsia="黑体" w:cs="黑体"/>
          <w:sz w:val="32"/>
          <w:szCs w:val="40"/>
          <w:lang w:val="en-US" w:eastAsia="zh-CN"/>
        </w:rPr>
        <w:t>中原学研究</w:t>
      </w:r>
      <w:r>
        <w:rPr>
          <w:rFonts w:hint="eastAsia" w:ascii="黑体" w:hAnsi="黑体" w:eastAsia="黑体" w:cs="黑体"/>
          <w:sz w:val="32"/>
          <w:szCs w:val="40"/>
          <w:lang w:val="en" w:eastAsia="zh-CN"/>
        </w:rPr>
        <w:t>专项</w:t>
      </w:r>
    </w:p>
    <w:p w14:paraId="6DED9280">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119.</w:t>
      </w:r>
      <w:r>
        <w:rPr>
          <w:rFonts w:hint="eastAsia" w:ascii="仿宋_GB2312" w:hAnsi="仿宋_GB2312" w:eastAsia="仿宋_GB2312" w:cs="仿宋_GB2312"/>
          <w:color w:val="auto"/>
          <w:kern w:val="2"/>
          <w:sz w:val="32"/>
          <w:szCs w:val="24"/>
          <w:highlight w:val="none"/>
          <w:lang w:val="en" w:eastAsia="zh-CN" w:bidi="ar-SA"/>
        </w:rPr>
        <w:t>习近平文化思想引领文旅强省建设研究</w:t>
      </w:r>
    </w:p>
    <w:p w14:paraId="5B87B9A3">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120.</w:t>
      </w:r>
      <w:r>
        <w:rPr>
          <w:rFonts w:hint="eastAsia" w:ascii="仿宋_GB2312" w:hAnsi="仿宋_GB2312" w:eastAsia="仿宋_GB2312" w:cs="仿宋_GB2312"/>
          <w:color w:val="auto"/>
          <w:kern w:val="2"/>
          <w:sz w:val="32"/>
          <w:szCs w:val="24"/>
          <w:highlight w:val="none"/>
          <w:lang w:val="en" w:eastAsia="zh-CN" w:bidi="ar-SA"/>
        </w:rPr>
        <w:t>中原文化与中华文明主根主脉的关系研究</w:t>
      </w:r>
    </w:p>
    <w:p w14:paraId="3112D8B8">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121.了不得的中原文化研究</w:t>
      </w:r>
    </w:p>
    <w:p w14:paraId="71F7F2BB">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122.</w:t>
      </w:r>
      <w:r>
        <w:rPr>
          <w:rFonts w:hint="eastAsia" w:ascii="仿宋_GB2312" w:hAnsi="仿宋_GB2312" w:eastAsia="仿宋_GB2312" w:cs="仿宋_GB2312"/>
          <w:color w:val="auto"/>
          <w:kern w:val="2"/>
          <w:sz w:val="32"/>
          <w:szCs w:val="24"/>
          <w:highlight w:val="none"/>
          <w:lang w:val="en" w:eastAsia="zh-CN" w:bidi="ar-SA"/>
        </w:rPr>
        <w:t>中原学的理论基础、基本范畴研究</w:t>
      </w:r>
    </w:p>
    <w:p w14:paraId="278E7C21">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123.</w:t>
      </w:r>
      <w:r>
        <w:rPr>
          <w:rFonts w:hint="eastAsia" w:ascii="仿宋_GB2312" w:hAnsi="仿宋_GB2312" w:eastAsia="仿宋_GB2312" w:cs="仿宋_GB2312"/>
          <w:color w:val="auto"/>
          <w:kern w:val="2"/>
          <w:sz w:val="32"/>
          <w:szCs w:val="24"/>
          <w:highlight w:val="none"/>
          <w:lang w:val="en" w:eastAsia="zh-CN" w:bidi="ar-SA"/>
        </w:rPr>
        <w:t>中原学分支学科研究</w:t>
      </w:r>
    </w:p>
    <w:p w14:paraId="3061F997">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124.中原经营学研究</w:t>
      </w:r>
    </w:p>
    <w:p w14:paraId="56F0606F">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125.中原法学研究</w:t>
      </w:r>
    </w:p>
    <w:p w14:paraId="6D7FEEDE">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126.中原生态学研究</w:t>
      </w:r>
    </w:p>
    <w:p w14:paraId="452F8A93">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127.中原学与世界中国学、世界古典学研究</w:t>
      </w:r>
    </w:p>
    <w:p w14:paraId="0BE45C7D">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128.中原古典学研究</w:t>
      </w:r>
    </w:p>
    <w:p w14:paraId="79EB20FC">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129.中原学与“中原学派”研究</w:t>
      </w:r>
    </w:p>
    <w:p w14:paraId="679D6A51">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130.伏羲文化研究</w:t>
      </w:r>
    </w:p>
    <w:p w14:paraId="73A7531A">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131.炎黄文化研究</w:t>
      </w:r>
    </w:p>
    <w:p w14:paraId="248D7266">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132.嵩山文化研究</w:t>
      </w:r>
    </w:p>
    <w:p w14:paraId="5F92F511">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133.河洛文化研究</w:t>
      </w:r>
    </w:p>
    <w:p w14:paraId="5945D24C">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134.殷商文化</w:t>
      </w:r>
      <w:r>
        <w:rPr>
          <w:rFonts w:hint="eastAsia" w:ascii="仿宋_GB2312" w:hAnsi="仿宋_GB2312" w:eastAsia="仿宋_GB2312" w:cs="仿宋_GB2312"/>
          <w:color w:val="auto"/>
          <w:kern w:val="2"/>
          <w:sz w:val="32"/>
          <w:szCs w:val="24"/>
          <w:highlight w:val="none"/>
          <w:lang w:val="en" w:eastAsia="zh-CN" w:bidi="ar-SA"/>
        </w:rPr>
        <w:t>研究</w:t>
      </w:r>
    </w:p>
    <w:p w14:paraId="2D0120C0">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135.</w:t>
      </w:r>
      <w:r>
        <w:rPr>
          <w:rFonts w:hint="eastAsia" w:ascii="仿宋_GB2312" w:hAnsi="仿宋_GB2312" w:eastAsia="仿宋_GB2312" w:cs="仿宋_GB2312"/>
          <w:color w:val="auto"/>
          <w:kern w:val="2"/>
          <w:sz w:val="32"/>
          <w:szCs w:val="24"/>
          <w:highlight w:val="none"/>
          <w:lang w:val="en" w:eastAsia="zh-CN" w:bidi="ar-SA"/>
        </w:rPr>
        <w:t>宋文化研究</w:t>
      </w:r>
    </w:p>
    <w:p w14:paraId="5EA1AAED">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136.</w:t>
      </w:r>
      <w:r>
        <w:rPr>
          <w:rFonts w:hint="eastAsia" w:ascii="仿宋_GB2312" w:hAnsi="仿宋_GB2312" w:eastAsia="仿宋_GB2312" w:cs="仿宋_GB2312"/>
          <w:color w:val="auto"/>
          <w:kern w:val="2"/>
          <w:sz w:val="32"/>
          <w:szCs w:val="24"/>
          <w:highlight w:val="none"/>
          <w:lang w:val="en" w:eastAsia="zh-CN" w:bidi="ar-SA"/>
        </w:rPr>
        <w:t>三苏文化研究</w:t>
      </w:r>
    </w:p>
    <w:p w14:paraId="2120B132">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137.</w:t>
      </w:r>
      <w:r>
        <w:rPr>
          <w:rFonts w:hint="eastAsia" w:ascii="仿宋_GB2312" w:hAnsi="仿宋_GB2312" w:eastAsia="仿宋_GB2312" w:cs="仿宋_GB2312"/>
          <w:color w:val="auto"/>
          <w:kern w:val="2"/>
          <w:sz w:val="32"/>
          <w:szCs w:val="24"/>
          <w:highlight w:val="none"/>
          <w:lang w:val="en" w:eastAsia="zh-CN" w:bidi="ar-SA"/>
        </w:rPr>
        <w:t>根亲文化研究</w:t>
      </w:r>
    </w:p>
    <w:p w14:paraId="08359F2F">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default"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138.</w:t>
      </w:r>
      <w:r>
        <w:rPr>
          <w:rFonts w:hint="eastAsia" w:ascii="仿宋_GB2312" w:hAnsi="仿宋_GB2312" w:eastAsia="仿宋_GB2312" w:cs="仿宋_GB2312"/>
          <w:color w:val="auto"/>
          <w:kern w:val="2"/>
          <w:sz w:val="32"/>
          <w:szCs w:val="24"/>
          <w:highlight w:val="none"/>
          <w:lang w:val="en" w:eastAsia="zh-CN" w:bidi="ar-SA"/>
        </w:rPr>
        <w:t>河南特色文化谱系构建研究</w:t>
      </w:r>
    </w:p>
    <w:p w14:paraId="4116778D">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139.打造</w:t>
      </w:r>
      <w:r>
        <w:rPr>
          <w:rFonts w:hint="eastAsia" w:ascii="仿宋_GB2312" w:hAnsi="仿宋_GB2312" w:eastAsia="仿宋_GB2312" w:cs="仿宋_GB2312"/>
          <w:color w:val="auto"/>
          <w:kern w:val="2"/>
          <w:sz w:val="32"/>
          <w:szCs w:val="24"/>
          <w:highlight w:val="none"/>
          <w:lang w:val="en" w:eastAsia="zh-CN" w:bidi="ar-SA"/>
        </w:rPr>
        <w:t>殷墟甲骨文世界级文化地标研究</w:t>
      </w:r>
    </w:p>
    <w:p w14:paraId="41B1FC3F">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140.</w:t>
      </w:r>
      <w:r>
        <w:rPr>
          <w:rFonts w:hint="eastAsia" w:ascii="仿宋_GB2312" w:hAnsi="仿宋_GB2312" w:eastAsia="仿宋_GB2312" w:cs="仿宋_GB2312"/>
          <w:color w:val="auto"/>
          <w:kern w:val="2"/>
          <w:sz w:val="32"/>
          <w:szCs w:val="24"/>
          <w:highlight w:val="none"/>
          <w:lang w:val="en" w:eastAsia="zh-CN" w:bidi="ar-SA"/>
        </w:rPr>
        <w:t>黄河古都群世界级旅游目的地建设发展路径研究</w:t>
      </w:r>
    </w:p>
    <w:p w14:paraId="6A21598E">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default"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141.</w:t>
      </w:r>
      <w:r>
        <w:rPr>
          <w:rFonts w:hint="eastAsia" w:ascii="仿宋_GB2312" w:hAnsi="仿宋_GB2312" w:eastAsia="仿宋_GB2312" w:cs="仿宋_GB2312"/>
          <w:color w:val="auto"/>
          <w:kern w:val="2"/>
          <w:sz w:val="32"/>
          <w:szCs w:val="24"/>
          <w:highlight w:val="none"/>
          <w:lang w:val="en" w:eastAsia="zh-CN" w:bidi="ar-SA"/>
        </w:rPr>
        <w:t>大遗址保护利用研究</w:t>
      </w:r>
    </w:p>
    <w:p w14:paraId="15732B46">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142.</w:t>
      </w:r>
      <w:r>
        <w:rPr>
          <w:rFonts w:hint="eastAsia" w:ascii="仿宋_GB2312" w:hAnsi="仿宋_GB2312" w:eastAsia="仿宋_GB2312" w:cs="仿宋_GB2312"/>
          <w:color w:val="auto"/>
          <w:kern w:val="2"/>
          <w:sz w:val="32"/>
          <w:szCs w:val="24"/>
          <w:highlight w:val="none"/>
          <w:lang w:val="en" w:eastAsia="zh-CN" w:bidi="ar-SA"/>
        </w:rPr>
        <w:t>非物质文化遗产保护传承创新研究</w:t>
      </w:r>
    </w:p>
    <w:p w14:paraId="11CD442B">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143.</w:t>
      </w:r>
      <w:r>
        <w:rPr>
          <w:rFonts w:hint="eastAsia" w:ascii="仿宋_GB2312" w:hAnsi="仿宋_GB2312" w:eastAsia="仿宋_GB2312" w:cs="仿宋_GB2312"/>
          <w:color w:val="auto"/>
          <w:kern w:val="2"/>
          <w:sz w:val="32"/>
          <w:szCs w:val="24"/>
          <w:highlight w:val="none"/>
          <w:lang w:val="en" w:eastAsia="zh-CN" w:bidi="ar-SA"/>
        </w:rPr>
        <w:t>中原红色文化传承弘扬研究</w:t>
      </w:r>
    </w:p>
    <w:p w14:paraId="39D5D77C">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144.</w:t>
      </w:r>
      <w:r>
        <w:rPr>
          <w:rFonts w:hint="eastAsia" w:ascii="仿宋_GB2312" w:hAnsi="仿宋_GB2312" w:eastAsia="仿宋_GB2312" w:cs="仿宋_GB2312"/>
          <w:color w:val="auto"/>
          <w:kern w:val="2"/>
          <w:sz w:val="32"/>
          <w:szCs w:val="24"/>
          <w:highlight w:val="none"/>
          <w:lang w:val="en" w:eastAsia="zh-CN" w:bidi="ar-SA"/>
        </w:rPr>
        <w:t>文旅产业培育路径研究</w:t>
      </w:r>
    </w:p>
    <w:p w14:paraId="07A2D5BE">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145.</w:t>
      </w:r>
      <w:r>
        <w:rPr>
          <w:rFonts w:hint="eastAsia" w:ascii="仿宋_GB2312" w:hAnsi="仿宋_GB2312" w:eastAsia="仿宋_GB2312" w:cs="仿宋_GB2312"/>
          <w:color w:val="auto"/>
          <w:kern w:val="2"/>
          <w:sz w:val="32"/>
          <w:szCs w:val="24"/>
          <w:highlight w:val="none"/>
          <w:lang w:val="en" w:eastAsia="zh-CN" w:bidi="ar-SA"/>
        </w:rPr>
        <w:t>人工智能赋能历史文化资源的数字化表达和数字</w:t>
      </w:r>
      <w:r>
        <w:rPr>
          <w:rFonts w:hint="eastAsia" w:ascii="仿宋_GB2312" w:hAnsi="仿宋_GB2312" w:eastAsia="仿宋_GB2312" w:cs="仿宋_GB2312"/>
          <w:color w:val="auto"/>
          <w:kern w:val="2"/>
          <w:sz w:val="32"/>
          <w:szCs w:val="24"/>
          <w:highlight w:val="none"/>
          <w:lang w:val="en-US" w:eastAsia="zh-CN" w:bidi="ar-SA"/>
        </w:rPr>
        <w:t>IP建设研究</w:t>
      </w:r>
    </w:p>
    <w:p w14:paraId="2A5A1EED">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146.</w:t>
      </w:r>
      <w:r>
        <w:rPr>
          <w:rFonts w:hint="eastAsia" w:ascii="仿宋_GB2312" w:hAnsi="仿宋_GB2312" w:eastAsia="仿宋_GB2312" w:cs="仿宋_GB2312"/>
          <w:color w:val="auto"/>
          <w:kern w:val="2"/>
          <w:sz w:val="32"/>
          <w:szCs w:val="24"/>
          <w:highlight w:val="none"/>
          <w:lang w:val="en" w:eastAsia="zh-CN" w:bidi="ar-SA"/>
        </w:rPr>
        <w:t>“行走中原</w:t>
      </w:r>
      <w:r>
        <w:rPr>
          <w:rFonts w:hint="eastAsia" w:ascii="黑体" w:hAnsi="黑体" w:eastAsia="黑体" w:cs="黑体"/>
          <w:b w:val="0"/>
          <w:bCs/>
          <w:color w:val="auto"/>
          <w:sz w:val="32"/>
          <w:szCs w:val="32"/>
        </w:rPr>
        <w:t>·</w:t>
      </w:r>
      <w:r>
        <w:rPr>
          <w:rFonts w:hint="eastAsia" w:ascii="仿宋_GB2312" w:hAnsi="仿宋_GB2312" w:eastAsia="仿宋_GB2312" w:cs="仿宋_GB2312"/>
          <w:color w:val="auto"/>
          <w:kern w:val="2"/>
          <w:sz w:val="32"/>
          <w:szCs w:val="24"/>
          <w:highlight w:val="none"/>
          <w:lang w:val="en-US" w:eastAsia="zh-CN" w:bidi="ar-SA"/>
        </w:rPr>
        <w:t>读懂中国</w:t>
      </w:r>
      <w:r>
        <w:rPr>
          <w:rFonts w:hint="eastAsia" w:ascii="仿宋_GB2312" w:hAnsi="仿宋_GB2312" w:eastAsia="仿宋_GB2312" w:cs="仿宋_GB2312"/>
          <w:color w:val="auto"/>
          <w:kern w:val="2"/>
          <w:sz w:val="32"/>
          <w:szCs w:val="24"/>
          <w:highlight w:val="none"/>
          <w:lang w:val="en" w:eastAsia="zh-CN" w:bidi="ar-SA"/>
        </w:rPr>
        <w:t>”品牌建设和传播研究</w:t>
      </w:r>
    </w:p>
    <w:p w14:paraId="78A44F8A">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147.</w:t>
      </w:r>
      <w:r>
        <w:rPr>
          <w:rFonts w:hint="eastAsia" w:ascii="仿宋_GB2312" w:hAnsi="仿宋_GB2312" w:eastAsia="仿宋_GB2312" w:cs="仿宋_GB2312"/>
          <w:color w:val="auto"/>
          <w:kern w:val="2"/>
          <w:sz w:val="32"/>
          <w:szCs w:val="24"/>
          <w:highlight w:val="none"/>
          <w:lang w:val="en" w:eastAsia="zh-CN" w:bidi="ar-SA"/>
        </w:rPr>
        <w:t>城乡公共文化服务体系提质增效研究</w:t>
      </w:r>
    </w:p>
    <w:p w14:paraId="2916BDE3">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US" w:eastAsia="zh-CN" w:bidi="ar-SA"/>
        </w:rPr>
      </w:pPr>
      <w:r>
        <w:rPr>
          <w:rFonts w:hint="eastAsia" w:ascii="仿宋_GB2312" w:hAnsi="仿宋_GB2312" w:eastAsia="仿宋_GB2312" w:cs="仿宋_GB2312"/>
          <w:color w:val="auto"/>
          <w:kern w:val="2"/>
          <w:sz w:val="32"/>
          <w:szCs w:val="24"/>
          <w:highlight w:val="none"/>
          <w:lang w:val="en-US" w:eastAsia="zh-CN" w:bidi="ar-SA"/>
        </w:rPr>
        <w:t>148.大众学术的文化现象研究</w:t>
      </w:r>
    </w:p>
    <w:p w14:paraId="11086FB7">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149.</w:t>
      </w:r>
      <w:r>
        <w:rPr>
          <w:rFonts w:hint="eastAsia" w:ascii="仿宋_GB2312" w:hAnsi="仿宋_GB2312" w:eastAsia="仿宋_GB2312" w:cs="仿宋_GB2312"/>
          <w:color w:val="auto"/>
          <w:kern w:val="2"/>
          <w:sz w:val="32"/>
          <w:szCs w:val="24"/>
          <w:highlight w:val="none"/>
          <w:lang w:val="en" w:eastAsia="zh-CN" w:bidi="ar-SA"/>
        </w:rPr>
        <w:t>文化现象级案例的经验总结与研究</w:t>
      </w:r>
    </w:p>
    <w:p w14:paraId="008743CE">
      <w:pPr>
        <w:pStyle w:val="5"/>
        <w:keepNext w:val="0"/>
        <w:keepLines w:val="0"/>
        <w:pageBreakBefore w:val="0"/>
        <w:widowControl w:val="0"/>
        <w:kinsoku/>
        <w:wordWrap/>
        <w:overflowPunct/>
        <w:topLinePunct w:val="0"/>
        <w:autoSpaceDE/>
        <w:autoSpaceDN/>
        <w:bidi w:val="0"/>
        <w:adjustRightInd/>
        <w:snapToGrid/>
        <w:spacing w:after="0" w:afterLines="0" w:line="580" w:lineRule="exact"/>
        <w:ind w:firstLine="640" w:firstLineChars="200"/>
        <w:textAlignment w:val="auto"/>
        <w:rPr>
          <w:rFonts w:hint="eastAsia" w:ascii="仿宋_GB2312" w:hAnsi="仿宋_GB2312" w:eastAsia="仿宋_GB2312" w:cs="仿宋_GB2312"/>
          <w:color w:val="auto"/>
          <w:kern w:val="2"/>
          <w:sz w:val="32"/>
          <w:szCs w:val="24"/>
          <w:highlight w:val="none"/>
          <w:lang w:val="en" w:eastAsia="zh-CN" w:bidi="ar-SA"/>
        </w:rPr>
      </w:pPr>
      <w:r>
        <w:rPr>
          <w:rFonts w:hint="eastAsia" w:ascii="仿宋_GB2312" w:hAnsi="仿宋_GB2312" w:eastAsia="仿宋_GB2312" w:cs="仿宋_GB2312"/>
          <w:color w:val="auto"/>
          <w:kern w:val="2"/>
          <w:sz w:val="32"/>
          <w:szCs w:val="24"/>
          <w:highlight w:val="none"/>
          <w:lang w:val="en-US" w:eastAsia="zh-CN" w:bidi="ar-SA"/>
        </w:rPr>
        <w:t>150.</w:t>
      </w:r>
      <w:r>
        <w:rPr>
          <w:rFonts w:hint="eastAsia" w:ascii="仿宋_GB2312" w:hAnsi="仿宋_GB2312" w:eastAsia="仿宋_GB2312" w:cs="仿宋_GB2312"/>
          <w:color w:val="auto"/>
          <w:kern w:val="2"/>
          <w:sz w:val="32"/>
          <w:szCs w:val="24"/>
          <w:highlight w:val="none"/>
          <w:lang w:val="en" w:eastAsia="zh-CN" w:bidi="ar-SA"/>
        </w:rPr>
        <w:t>河南微短剧产业高质量发展研究</w:t>
      </w:r>
    </w:p>
    <w:p w14:paraId="6AD83BB5">
      <w:pPr>
        <w:pStyle w:val="5"/>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华文仿宋" w:hAnsi="华文仿宋" w:eastAsia="华文仿宋" w:cs="华文仿宋"/>
          <w:b w:val="0"/>
          <w:bCs/>
          <w:color w:val="auto"/>
          <w:kern w:val="2"/>
          <w:sz w:val="32"/>
          <w:szCs w:val="32"/>
          <w:lang w:val="en" w:eastAsia="zh-CN" w:bidi="ar-SA"/>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1F5A23-961B-4C42-A972-FECE44753B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00000000000000000"/>
    <w:charset w:val="00"/>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F70003D8-AB08-42AF-BE19-0C983920FB9A}"/>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3" w:fontKey="{D6E1B9A3-799C-4874-A6D4-354F5CA27DB3}"/>
  </w:font>
  <w:font w:name="CESI黑体-GB2312">
    <w:altName w:val="黑体"/>
    <w:panose1 w:val="02000500000000000000"/>
    <w:charset w:val="86"/>
    <w:family w:val="auto"/>
    <w:pitch w:val="default"/>
    <w:sig w:usb0="800002BF" w:usb1="184F6CF8" w:usb2="00000012" w:usb3="00000000" w:csb0="0004000F" w:csb1="00000000"/>
    <w:embedRegular r:id="rId4" w:fontKey="{06F9B823-3D9B-452A-90E0-5506025D9FB6}"/>
  </w:font>
  <w:font w:name="华文仿宋">
    <w:altName w:val="仿宋"/>
    <w:panose1 w:val="02010600040101010101"/>
    <w:charset w:val="86"/>
    <w:family w:val="auto"/>
    <w:pitch w:val="default"/>
    <w:sig w:usb0="00000287" w:usb1="080F0000" w:usb2="00000000" w:usb3="00000000" w:csb0="0004009F" w:csb1="DFD70000"/>
    <w:embedRegular r:id="rId5" w:fontKey="{9687122C-B1A1-4A4D-9026-9F7FAA775946}"/>
  </w:font>
  <w:font w:name="方正黑体_GBK">
    <w:altName w:val="微软雅黑"/>
    <w:panose1 w:val="02000000000000000000"/>
    <w:charset w:val="86"/>
    <w:family w:val="auto"/>
    <w:pitch w:val="default"/>
    <w:sig w:usb0="00000001" w:usb1="08000000" w:usb2="00000000" w:usb3="00000000" w:csb0="00040000" w:csb1="00000000"/>
    <w:embedRegular r:id="rId6" w:fontKey="{4DE0B242-E1ED-4F57-BE73-88E88F6847C4}"/>
  </w:font>
  <w:font w:name="微软雅黑">
    <w:panose1 w:val="020B0503020204020204"/>
    <w:charset w:val="86"/>
    <w:family w:val="auto"/>
    <w:pitch w:val="default"/>
    <w:sig w:usb0="80000287" w:usb1="2ACF3C50" w:usb2="00000016" w:usb3="00000000" w:csb0="0004001F" w:csb1="00000000"/>
  </w:font>
  <w:font w:name="KSOF5FA7FF03">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ECBE1">
    <w:pPr>
      <w:pStyle w:val="10"/>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E6D6F57">
                          <w:pPr>
                            <w:pStyle w:val="10"/>
                          </w:pPr>
                          <w:r>
                            <w:fldChar w:fldCharType="begin"/>
                          </w:r>
                          <w:r>
                            <w:instrText xml:space="preserve"> PAGE  \* MERGEFORMAT </w:instrText>
                          </w:r>
                          <w:r>
                            <w:fldChar w:fldCharType="separate"/>
                          </w:r>
                          <w:r>
                            <w:t>15</w:t>
                          </w:r>
                          <w:r>
                            <w:fldChar w:fldCharType="end"/>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ZXWou3gEAAL8DAAAOAAAAAAAA&#10;AAEAIAAAAB4BAABkcnMvZTJvRG9jLnhtbFBLBQYAAAAABgAGAFkBAABuBQAAAAA=&#10;">
              <v:fill on="f" focussize="0,0"/>
              <v:stroke on="f"/>
              <v:imagedata o:title=""/>
              <o:lock v:ext="edit" aspectratio="f"/>
              <v:textbox inset="0mm,0mm,0mm,0mm" style="mso-fit-shape-to-text:t;">
                <w:txbxContent>
                  <w:p w14:paraId="4E6D6F57">
                    <w:pPr>
                      <w:pStyle w:val="10"/>
                    </w:pPr>
                    <w:r>
                      <w:fldChar w:fldCharType="begin"/>
                    </w:r>
                    <w:r>
                      <w:instrText xml:space="preserve"> PAGE  \* MERGEFORMAT </w:instrText>
                    </w:r>
                    <w:r>
                      <w:fldChar w:fldCharType="separate"/>
                    </w:r>
                    <w:r>
                      <w:t>15</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inside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8EBDD0">
                          <w:pPr>
                            <w:pStyle w:val="10"/>
                            <w:rPr>
                              <w:rFonts w:hint="eastAsia" w:eastAsia="宋体"/>
                              <w:lang w:eastAsia="zh-CN"/>
                            </w:rPr>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in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8bSus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IoSxy0O/PLzx+XXn8vv72SZ&#10;5ekD1Jh1HzAvDe/8gEsz+wGdmfWgos1f5EMwjuKer+LKIRGRH61X63WFIYGx+YL47OF5iJDeS29J&#10;NhoacXpFVH76CGlMnVNyNefvtDFlgsb940DM7GG597HHbKVhP0yE9r49I58eB99Qh3tOifngUNe8&#10;I7MRZ2M/G8cQ9aErS5TrQbg9Jmyi9JYrjLBTYZxYYTdtV16Jx/eS9fBHbf8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PfG0rrIAQAAmQMAAA4AAAAAAAAAAQAgAAAAHgEAAGRycy9lMm9Eb2Mu&#10;eG1sUEsFBgAAAAAGAAYAWQEAAFgFAAAAAA==&#10;">
              <v:fill on="f" focussize="0,0"/>
              <v:stroke on="f"/>
              <v:imagedata o:title=""/>
              <o:lock v:ext="edit" aspectratio="f"/>
              <v:textbox inset="0mm,0mm,0mm,0mm" style="mso-fit-shape-to-text:t;">
                <w:txbxContent>
                  <w:p w14:paraId="358EBDD0">
                    <w:pPr>
                      <w:pStyle w:val="10"/>
                      <w:rPr>
                        <w:rFonts w:hint="eastAsia" w:eastAsia="宋体"/>
                        <w:lang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1YTVjZGUxNzFhYzUxZWE4ODRlZWVhNDRmZTNjNDUifQ=="/>
  </w:docVars>
  <w:rsids>
    <w:rsidRoot w:val="00172A27"/>
    <w:rsid w:val="04AD4978"/>
    <w:rsid w:val="0633230A"/>
    <w:rsid w:val="06C23411"/>
    <w:rsid w:val="074D365F"/>
    <w:rsid w:val="087B55E4"/>
    <w:rsid w:val="09FB4899"/>
    <w:rsid w:val="0D533015"/>
    <w:rsid w:val="0F5FD9A2"/>
    <w:rsid w:val="16695657"/>
    <w:rsid w:val="19FFA93F"/>
    <w:rsid w:val="1A8238F8"/>
    <w:rsid w:val="1AF23E6D"/>
    <w:rsid w:val="1AFF658A"/>
    <w:rsid w:val="1BBFED50"/>
    <w:rsid w:val="1FAF0A33"/>
    <w:rsid w:val="1FDFE87D"/>
    <w:rsid w:val="21DA565B"/>
    <w:rsid w:val="23C30656"/>
    <w:rsid w:val="24A408F0"/>
    <w:rsid w:val="261D1FBA"/>
    <w:rsid w:val="272317E1"/>
    <w:rsid w:val="27FE0409"/>
    <w:rsid w:val="2BD45D82"/>
    <w:rsid w:val="2E5759EC"/>
    <w:rsid w:val="2FFF7851"/>
    <w:rsid w:val="2FFFBC76"/>
    <w:rsid w:val="352E1AEE"/>
    <w:rsid w:val="35FA4CA9"/>
    <w:rsid w:val="39FF5758"/>
    <w:rsid w:val="3AE568B7"/>
    <w:rsid w:val="3BDB0A33"/>
    <w:rsid w:val="3BEB24E7"/>
    <w:rsid w:val="3D5D5C26"/>
    <w:rsid w:val="3F3F4035"/>
    <w:rsid w:val="3F8F55D4"/>
    <w:rsid w:val="3F9F9890"/>
    <w:rsid w:val="3FBE88B3"/>
    <w:rsid w:val="3FD6E81F"/>
    <w:rsid w:val="3FDF363E"/>
    <w:rsid w:val="3FF6503A"/>
    <w:rsid w:val="3FF71A62"/>
    <w:rsid w:val="40097685"/>
    <w:rsid w:val="455D63E9"/>
    <w:rsid w:val="464F7E66"/>
    <w:rsid w:val="467A16B4"/>
    <w:rsid w:val="4BDDD74D"/>
    <w:rsid w:val="4EFF4D09"/>
    <w:rsid w:val="4F63E98A"/>
    <w:rsid w:val="557E5D22"/>
    <w:rsid w:val="56A1C12D"/>
    <w:rsid w:val="57F7B351"/>
    <w:rsid w:val="592A23FD"/>
    <w:rsid w:val="5ADFADB3"/>
    <w:rsid w:val="5B9E1793"/>
    <w:rsid w:val="5CE40B61"/>
    <w:rsid w:val="5D16412F"/>
    <w:rsid w:val="5DBA8390"/>
    <w:rsid w:val="5DE5A8F6"/>
    <w:rsid w:val="5DFFA70D"/>
    <w:rsid w:val="5EFF3087"/>
    <w:rsid w:val="5F7EB3ED"/>
    <w:rsid w:val="5FEEE5E7"/>
    <w:rsid w:val="5FF50B8F"/>
    <w:rsid w:val="61BFAC6F"/>
    <w:rsid w:val="620F7C87"/>
    <w:rsid w:val="6249385F"/>
    <w:rsid w:val="64B601B9"/>
    <w:rsid w:val="667271DD"/>
    <w:rsid w:val="68CBF278"/>
    <w:rsid w:val="6A6FC33D"/>
    <w:rsid w:val="6C400660"/>
    <w:rsid w:val="6EFD5BE4"/>
    <w:rsid w:val="6EFEB502"/>
    <w:rsid w:val="6F3787D4"/>
    <w:rsid w:val="6F776796"/>
    <w:rsid w:val="6F77C6CE"/>
    <w:rsid w:val="6FAD66D7"/>
    <w:rsid w:val="6FB5A8C6"/>
    <w:rsid w:val="6FE2E08D"/>
    <w:rsid w:val="6FF78E85"/>
    <w:rsid w:val="6FFB178E"/>
    <w:rsid w:val="6FFB3D95"/>
    <w:rsid w:val="70FF8EB0"/>
    <w:rsid w:val="71FE5F9B"/>
    <w:rsid w:val="73FE9BA2"/>
    <w:rsid w:val="73FF3D20"/>
    <w:rsid w:val="74D77888"/>
    <w:rsid w:val="75CFBDAB"/>
    <w:rsid w:val="76C81E1F"/>
    <w:rsid w:val="76FD6EEE"/>
    <w:rsid w:val="76FD8DCD"/>
    <w:rsid w:val="76FEBB25"/>
    <w:rsid w:val="77598391"/>
    <w:rsid w:val="776F23B1"/>
    <w:rsid w:val="776F3E22"/>
    <w:rsid w:val="77A6066F"/>
    <w:rsid w:val="77F7DAA3"/>
    <w:rsid w:val="77F82074"/>
    <w:rsid w:val="77FFCECF"/>
    <w:rsid w:val="79AFCB66"/>
    <w:rsid w:val="79BFEA98"/>
    <w:rsid w:val="79DB23F1"/>
    <w:rsid w:val="79DF1958"/>
    <w:rsid w:val="79F938D9"/>
    <w:rsid w:val="7B5DB518"/>
    <w:rsid w:val="7B692F8F"/>
    <w:rsid w:val="7B6DE3D9"/>
    <w:rsid w:val="7BBF5197"/>
    <w:rsid w:val="7BBF67D2"/>
    <w:rsid w:val="7BCF1702"/>
    <w:rsid w:val="7BDA534A"/>
    <w:rsid w:val="7CD63D2D"/>
    <w:rsid w:val="7CFEA1C2"/>
    <w:rsid w:val="7D7EC39F"/>
    <w:rsid w:val="7DFBE97F"/>
    <w:rsid w:val="7E5FFEF4"/>
    <w:rsid w:val="7E6FFC21"/>
    <w:rsid w:val="7E7F1A92"/>
    <w:rsid w:val="7EA5DA78"/>
    <w:rsid w:val="7EB77545"/>
    <w:rsid w:val="7EBF4251"/>
    <w:rsid w:val="7ECF4972"/>
    <w:rsid w:val="7EF731D3"/>
    <w:rsid w:val="7F1F80C8"/>
    <w:rsid w:val="7F3E2116"/>
    <w:rsid w:val="7F7ED25E"/>
    <w:rsid w:val="7FAEF958"/>
    <w:rsid w:val="7FB79878"/>
    <w:rsid w:val="7FBD1749"/>
    <w:rsid w:val="7FBF323C"/>
    <w:rsid w:val="7FDFEFFD"/>
    <w:rsid w:val="7FEEF35C"/>
    <w:rsid w:val="7FEF6F19"/>
    <w:rsid w:val="7FEFB9FE"/>
    <w:rsid w:val="7FF7E515"/>
    <w:rsid w:val="7FFB84B6"/>
    <w:rsid w:val="7FFC9F16"/>
    <w:rsid w:val="7FFF3241"/>
    <w:rsid w:val="7FFF4D7F"/>
    <w:rsid w:val="7FFF4F47"/>
    <w:rsid w:val="7FFF9B70"/>
    <w:rsid w:val="7FFFE5B2"/>
    <w:rsid w:val="8B951705"/>
    <w:rsid w:val="8D9F4D12"/>
    <w:rsid w:val="8F5F0400"/>
    <w:rsid w:val="91FD7763"/>
    <w:rsid w:val="9E500AAE"/>
    <w:rsid w:val="9EB11AE7"/>
    <w:rsid w:val="A5E7D03A"/>
    <w:rsid w:val="A9C76389"/>
    <w:rsid w:val="AFF92304"/>
    <w:rsid w:val="B37F5163"/>
    <w:rsid w:val="B3FDC417"/>
    <w:rsid w:val="B5B709DF"/>
    <w:rsid w:val="B7AFABFE"/>
    <w:rsid w:val="B7EF29FF"/>
    <w:rsid w:val="B8BEB80F"/>
    <w:rsid w:val="BA8F91C9"/>
    <w:rsid w:val="BB750029"/>
    <w:rsid w:val="BB9B67E3"/>
    <w:rsid w:val="BCEFD205"/>
    <w:rsid w:val="BDB72A46"/>
    <w:rsid w:val="BFAF1A0B"/>
    <w:rsid w:val="BFB77F0C"/>
    <w:rsid w:val="BFBF25BB"/>
    <w:rsid w:val="BFC659FB"/>
    <w:rsid w:val="BFDE6558"/>
    <w:rsid w:val="BFEFF450"/>
    <w:rsid w:val="BFFC45FF"/>
    <w:rsid w:val="BFFCE4D7"/>
    <w:rsid w:val="BFFF1316"/>
    <w:rsid w:val="CA7BE385"/>
    <w:rsid w:val="CFFF11EA"/>
    <w:rsid w:val="D67940F8"/>
    <w:rsid w:val="D9DD0E18"/>
    <w:rsid w:val="DB7F517F"/>
    <w:rsid w:val="DBAFF4D5"/>
    <w:rsid w:val="DBB10855"/>
    <w:rsid w:val="DBD74E30"/>
    <w:rsid w:val="DC4FA04E"/>
    <w:rsid w:val="DC5E5F4E"/>
    <w:rsid w:val="DC753562"/>
    <w:rsid w:val="DCB741D3"/>
    <w:rsid w:val="DDD78F6A"/>
    <w:rsid w:val="DE3F3C75"/>
    <w:rsid w:val="DFBE058B"/>
    <w:rsid w:val="DFDFF438"/>
    <w:rsid w:val="DFEB3D8F"/>
    <w:rsid w:val="DFF961CD"/>
    <w:rsid w:val="DFFD2785"/>
    <w:rsid w:val="DFFF0491"/>
    <w:rsid w:val="E33EEFF2"/>
    <w:rsid w:val="E3473812"/>
    <w:rsid w:val="E69FC6A6"/>
    <w:rsid w:val="E7EBF5E7"/>
    <w:rsid w:val="EBFD4039"/>
    <w:rsid w:val="ECCE9C0A"/>
    <w:rsid w:val="EDAF0992"/>
    <w:rsid w:val="EF7952E6"/>
    <w:rsid w:val="EFCFDC42"/>
    <w:rsid w:val="F31F8F58"/>
    <w:rsid w:val="F33759D9"/>
    <w:rsid w:val="F4DFAB07"/>
    <w:rsid w:val="F6F30307"/>
    <w:rsid w:val="F75F35A3"/>
    <w:rsid w:val="F7DFEAD2"/>
    <w:rsid w:val="F7F8682E"/>
    <w:rsid w:val="F7F993D9"/>
    <w:rsid w:val="F7FB6B8F"/>
    <w:rsid w:val="F7FCB613"/>
    <w:rsid w:val="F7FE315F"/>
    <w:rsid w:val="F7FFF452"/>
    <w:rsid w:val="F9F7A24F"/>
    <w:rsid w:val="FAAF0AA4"/>
    <w:rsid w:val="FB539ABD"/>
    <w:rsid w:val="FB7BC9D3"/>
    <w:rsid w:val="FB9790FA"/>
    <w:rsid w:val="FBAE0AE3"/>
    <w:rsid w:val="FBDF72C0"/>
    <w:rsid w:val="FBFF23AC"/>
    <w:rsid w:val="FD4BE33B"/>
    <w:rsid w:val="FDB75B94"/>
    <w:rsid w:val="FDDCC2A8"/>
    <w:rsid w:val="FE6D5CD5"/>
    <w:rsid w:val="FE9F636A"/>
    <w:rsid w:val="FEDB00E8"/>
    <w:rsid w:val="FEF414E7"/>
    <w:rsid w:val="FEFB09AD"/>
    <w:rsid w:val="FF57F556"/>
    <w:rsid w:val="FFB9DAB6"/>
    <w:rsid w:val="FFCE86A6"/>
    <w:rsid w:val="FFD9FB8F"/>
    <w:rsid w:val="FFE08C5B"/>
    <w:rsid w:val="FFE77B6E"/>
    <w:rsid w:val="FFEE1426"/>
    <w:rsid w:val="FFF6039C"/>
    <w:rsid w:val="FFF6CFF1"/>
    <w:rsid w:val="FFFF4756"/>
    <w:rsid w:val="FFFFDC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7">
    <w:name w:val="Default Paragraph Font"/>
    <w:uiPriority w:val="0"/>
  </w:style>
  <w:style w:type="table" w:default="1" w:styleId="16">
    <w:name w:val="Normal Table"/>
    <w:semiHidden/>
    <w:qFormat/>
    <w:uiPriority w:val="0"/>
    <w:tblPr>
      <w:tblStyle w:val="16"/>
      <w:tblCellMar>
        <w:top w:w="0" w:type="dxa"/>
        <w:left w:w="108" w:type="dxa"/>
        <w:bottom w:w="0" w:type="dxa"/>
        <w:right w:w="108" w:type="dxa"/>
      </w:tblCellMar>
    </w:tblPr>
  </w:style>
  <w:style w:type="paragraph" w:styleId="4">
    <w:name w:val="List 3"/>
    <w:basedOn w:val="1"/>
    <w:next w:val="5"/>
    <w:qFormat/>
    <w:uiPriority w:val="0"/>
    <w:pPr>
      <w:ind w:left="100" w:firstLine="3640"/>
    </w:pPr>
  </w:style>
  <w:style w:type="paragraph" w:styleId="5">
    <w:name w:val="Body Text"/>
    <w:basedOn w:val="1"/>
    <w:next w:val="6"/>
    <w:uiPriority w:val="0"/>
    <w:pPr>
      <w:spacing w:after="120" w:afterLines="0"/>
    </w:pPr>
  </w:style>
  <w:style w:type="paragraph" w:customStyle="1" w:styleId="6">
    <w:name w:val="标准"/>
    <w:basedOn w:val="1"/>
    <w:next w:val="1"/>
    <w:qFormat/>
    <w:uiPriority w:val="0"/>
    <w:pPr>
      <w:spacing w:before="120" w:after="120" w:line="312" w:lineRule="atLeast"/>
      <w:ind w:firstLine="3584"/>
    </w:pPr>
  </w:style>
  <w:style w:type="paragraph" w:styleId="7">
    <w:name w:val="Body Text Indent"/>
    <w:basedOn w:val="1"/>
    <w:uiPriority w:val="0"/>
    <w:pPr>
      <w:adjustRightInd w:val="0"/>
      <w:textAlignment w:val="baseline"/>
    </w:pPr>
    <w:rPr>
      <w:rFonts w:ascii="黑体" w:hAnsi="宋体" w:eastAsia="黑体"/>
      <w:sz w:val="28"/>
    </w:rPr>
  </w:style>
  <w:style w:type="paragraph" w:styleId="8">
    <w:name w:val="List 2"/>
    <w:basedOn w:val="1"/>
    <w:next w:val="4"/>
    <w:qFormat/>
    <w:uiPriority w:val="0"/>
    <w:pPr>
      <w:ind w:left="100" w:leftChars="200" w:hanging="200" w:hangingChars="200"/>
    </w:pPr>
  </w:style>
  <w:style w:type="paragraph" w:styleId="9">
    <w:name w:val="Date"/>
    <w:basedOn w:val="1"/>
    <w:next w:val="1"/>
    <w:link w:val="22"/>
    <w:uiPriority w:val="0"/>
    <w:pPr>
      <w:ind w:left="100" w:leftChars="2500"/>
    </w:pPr>
    <w:rPr>
      <w:kern w:val="2"/>
      <w:sz w:val="21"/>
      <w:szCs w:val="24"/>
    </w:rPr>
  </w:style>
  <w:style w:type="paragraph" w:styleId="10">
    <w:name w:val="footer"/>
    <w:basedOn w:val="1"/>
    <w:uiPriority w:val="0"/>
    <w:pPr>
      <w:tabs>
        <w:tab w:val="center" w:pos="4153"/>
        <w:tab w:val="right" w:pos="8306"/>
      </w:tabs>
      <w:snapToGrid w:val="0"/>
      <w:jc w:val="left"/>
    </w:pPr>
    <w:rPr>
      <w:sz w:val="18"/>
    </w:rPr>
  </w:style>
  <w:style w:type="paragraph" w:styleId="11">
    <w:name w:val="header"/>
    <w:basedOn w:val="1"/>
    <w:link w:val="23"/>
    <w:uiPriority w:val="0"/>
    <w:pPr>
      <w:pBdr>
        <w:bottom w:val="single" w:color="auto" w:sz="6" w:space="1"/>
      </w:pBdr>
      <w:tabs>
        <w:tab w:val="center" w:pos="4153"/>
        <w:tab w:val="right" w:pos="8306"/>
      </w:tabs>
      <w:snapToGrid w:val="0"/>
      <w:jc w:val="center"/>
    </w:pPr>
    <w:rPr>
      <w:kern w:val="2"/>
      <w:sz w:val="18"/>
      <w:szCs w:val="18"/>
    </w:rPr>
  </w:style>
  <w:style w:type="paragraph" w:styleId="12">
    <w:name w:val="toc 1"/>
    <w:basedOn w:val="1"/>
    <w:next w:val="1"/>
    <w:uiPriority w:val="0"/>
  </w:style>
  <w:style w:type="paragraph" w:styleId="13">
    <w:name w:val="Body Text 2"/>
    <w:basedOn w:val="1"/>
    <w:next w:val="8"/>
    <w:qFormat/>
    <w:uiPriority w:val="0"/>
    <w:rPr>
      <w:sz w:val="24"/>
      <w:szCs w:val="24"/>
    </w:rPr>
  </w:style>
  <w:style w:type="paragraph" w:styleId="14">
    <w:name w:val="Normal (Web)"/>
    <w:basedOn w:val="1"/>
    <w:uiPriority w:val="0"/>
    <w:pPr>
      <w:widowControl/>
      <w:spacing w:before="100" w:beforeLines="0" w:beforeAutospacing="1" w:after="100" w:afterLines="0" w:afterAutospacing="1"/>
      <w:jc w:val="left"/>
    </w:pPr>
    <w:rPr>
      <w:rFonts w:ascii="宋体" w:hAnsi="宋体" w:cs="宋体"/>
      <w:kern w:val="0"/>
      <w:sz w:val="24"/>
    </w:rPr>
  </w:style>
  <w:style w:type="paragraph" w:styleId="15">
    <w:name w:val="Body Text First Indent 2"/>
    <w:basedOn w:val="7"/>
    <w:unhideWhenUsed/>
    <w:qFormat/>
    <w:uiPriority w:val="0"/>
    <w:pPr>
      <w:ind w:firstLine="420" w:firstLineChars="200"/>
    </w:pPr>
    <w:rPr>
      <w:rFonts w:ascii="Times New Roman" w:hAnsi="Times New Roman" w:eastAsia="宋体" w:cs="Times New Roman"/>
      <w:sz w:val="32"/>
      <w:szCs w:val="24"/>
    </w:rPr>
  </w:style>
  <w:style w:type="character" w:styleId="18">
    <w:name w:val="Strong"/>
    <w:basedOn w:val="17"/>
    <w:uiPriority w:val="0"/>
    <w:rPr>
      <w:b/>
      <w:bCs/>
    </w:rPr>
  </w:style>
  <w:style w:type="character" w:styleId="19">
    <w:name w:val="page number"/>
    <w:basedOn w:val="17"/>
    <w:uiPriority w:val="0"/>
  </w:style>
  <w:style w:type="character" w:styleId="20">
    <w:name w:val="Emphasis"/>
    <w:basedOn w:val="17"/>
    <w:qFormat/>
    <w:uiPriority w:val="0"/>
    <w:rPr>
      <w:i/>
    </w:rPr>
  </w:style>
  <w:style w:type="character" w:styleId="21">
    <w:name w:val="Hyperlink"/>
    <w:basedOn w:val="17"/>
    <w:uiPriority w:val="0"/>
    <w:rPr>
      <w:color w:val="0000FF"/>
      <w:u w:val="single"/>
    </w:rPr>
  </w:style>
  <w:style w:type="character" w:customStyle="1" w:styleId="22">
    <w:name w:val=" Char Char"/>
    <w:basedOn w:val="17"/>
    <w:link w:val="9"/>
    <w:uiPriority w:val="0"/>
    <w:rPr>
      <w:kern w:val="2"/>
      <w:sz w:val="21"/>
      <w:szCs w:val="24"/>
    </w:rPr>
  </w:style>
  <w:style w:type="character" w:customStyle="1" w:styleId="23">
    <w:name w:val=" Char Char1"/>
    <w:basedOn w:val="17"/>
    <w:link w:val="11"/>
    <w:uiPriority w:val="0"/>
    <w:rPr>
      <w:kern w:val="2"/>
      <w:sz w:val="18"/>
      <w:szCs w:val="18"/>
    </w:rPr>
  </w:style>
  <w:style w:type="paragraph" w:customStyle="1" w:styleId="24">
    <w:name w:val="正文文本 21"/>
    <w:basedOn w:val="1"/>
    <w:qFormat/>
    <w:uiPriority w:val="0"/>
    <w:pPr>
      <w:spacing w:line="480" w:lineRule="auto"/>
    </w:pPr>
  </w:style>
  <w:style w:type="paragraph" w:customStyle="1" w:styleId="25">
    <w:name w:val="Body Text First Indent"/>
    <w:basedOn w:val="5"/>
    <w:next w:val="5"/>
    <w:uiPriority w:val="0"/>
    <w:pPr>
      <w:ind w:firstLine="420" w:firstLineChars="100"/>
    </w:pPr>
  </w:style>
  <w:style w:type="paragraph" w:customStyle="1" w:styleId="26">
    <w:name w:val="Body Text Indent 2"/>
    <w:basedOn w:val="1"/>
    <w:uiPriority w:val="0"/>
    <w:pPr>
      <w:spacing w:after="120" w:afterLines="0" w:line="480" w:lineRule="auto"/>
      <w:ind w:left="420" w:leftChars="200"/>
    </w:pPr>
  </w:style>
  <w:style w:type="paragraph" w:customStyle="1" w:styleId="27">
    <w:name w:val="p0"/>
    <w:basedOn w:val="1"/>
    <w:uiPriority w:val="0"/>
    <w:pPr>
      <w:widowControl/>
    </w:pPr>
    <w:rPr>
      <w:kern w:val="0"/>
      <w:szCs w:val="21"/>
    </w:rPr>
  </w:style>
  <w:style w:type="paragraph" w:customStyle="1" w:styleId="28">
    <w:name w:val="List Paragraph"/>
    <w:basedOn w:val="1"/>
    <w:uiPriority w:val="0"/>
    <w:pPr>
      <w:ind w:firstLine="420" w:firstLineChars="200"/>
    </w:pPr>
  </w:style>
  <w:style w:type="paragraph" w:customStyle="1" w:styleId="29">
    <w:name w:val="Body Text 2"/>
    <w:basedOn w:val="1"/>
    <w:qFormat/>
    <w:uiPriority w:val="0"/>
    <w:pPr>
      <w:spacing w:line="480" w:lineRule="auto"/>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Template>
  <Company>Lenovo</Company>
  <Pages>10</Pages>
  <Words>3206</Words>
  <Characters>3633</Characters>
  <Lines>5</Lines>
  <Paragraphs>1</Paragraphs>
  <TotalTime>4.66666666666667</TotalTime>
  <ScaleCrop>false</ScaleCrop>
  <LinksUpToDate>false</LinksUpToDate>
  <CharactersWithSpaces>3644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2015-12-29T08:47:00Z</dcterms:created>
  <dc:creator>Lenovo User</dc:creator>
  <cp:lastModifiedBy>王振刚</cp:lastModifiedBy>
  <cp:lastPrinted>2026-03-11T10:46:50Z</cp:lastPrinted>
  <dcterms:modified xsi:type="dcterms:W3CDTF">2026-03-17T09:33:40Z</dcterms:modified>
  <dc:title>关于组织申报河南省社科联、河南省经团联</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042E7ED989CA45048BE53A5825D5BE2A_13</vt:lpwstr>
  </property>
  <property fmtid="{D5CDD505-2E9C-101B-9397-08002B2CF9AE}" pid="4" name="KSOTemplateDocerSaveRecord">
    <vt:lpwstr>eyJoZGlkIjoiYjA5N2M3OTdiNTJiNjA5MDI5YjRmMDI0YmY0OGViMmYiLCJ1c2VySWQiOiIyMzQyNjgxOTcifQ==</vt:lpwstr>
  </property>
</Properties>
</file>